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Pr="00FC7B93" w:rsidRDefault="002B4FA4" w:rsidP="002B4FA4">
            <w:r w:rsidRPr="00FC7B93">
              <w:t>Ze dne</w:t>
            </w:r>
          </w:p>
        </w:tc>
        <w:tc>
          <w:tcPr>
            <w:tcW w:w="2552" w:type="dxa"/>
          </w:tcPr>
          <w:p w14:paraId="01ECBB70" w14:textId="77777777" w:rsidR="002B4FA4" w:rsidRPr="00FC7B93"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FC7B93" w:rsidRDefault="002B4FA4" w:rsidP="002B4FA4">
            <w:r w:rsidRPr="00FC7B93">
              <w:t>Naše zn.</w:t>
            </w:r>
          </w:p>
        </w:tc>
        <w:tc>
          <w:tcPr>
            <w:tcW w:w="2552" w:type="dxa"/>
          </w:tcPr>
          <w:p w14:paraId="12B38D34" w14:textId="4885288B" w:rsidR="002B4FA4" w:rsidRPr="00FC7B93" w:rsidRDefault="00FC7B93" w:rsidP="002B4FA4">
            <w:r w:rsidRPr="00FC7B93">
              <w:t>2564/2024-SŽ-SSZ-OVZ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FC7B93" w:rsidRDefault="002B4FA4" w:rsidP="002B4FA4"/>
        </w:tc>
        <w:tc>
          <w:tcPr>
            <w:tcW w:w="2552" w:type="dxa"/>
          </w:tcPr>
          <w:p w14:paraId="3DDD4239" w14:textId="77777777" w:rsidR="002B4FA4" w:rsidRPr="00FC7B93"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FC7B93" w:rsidRDefault="002B4FA4" w:rsidP="002B4FA4">
            <w:r w:rsidRPr="00FC7B93">
              <w:t>Vyřizuje</w:t>
            </w:r>
          </w:p>
        </w:tc>
        <w:tc>
          <w:tcPr>
            <w:tcW w:w="2552" w:type="dxa"/>
          </w:tcPr>
          <w:p w14:paraId="7ECAD3EF" w14:textId="2A81187A" w:rsidR="002B4FA4" w:rsidRPr="00FC7B93" w:rsidRDefault="00FC7B93" w:rsidP="002B4FA4">
            <w:r w:rsidRPr="00FC7B93">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FC7B93" w:rsidRDefault="002B4FA4" w:rsidP="002B4FA4">
            <w:r w:rsidRPr="00FC7B93">
              <w:t>Mobil</w:t>
            </w:r>
          </w:p>
        </w:tc>
        <w:tc>
          <w:tcPr>
            <w:tcW w:w="2552" w:type="dxa"/>
          </w:tcPr>
          <w:p w14:paraId="7C0BA533" w14:textId="3C57A90E" w:rsidR="002B4FA4" w:rsidRPr="00FC7B93" w:rsidRDefault="00FC7B93" w:rsidP="002B4FA4">
            <w:r w:rsidRPr="00FC7B93">
              <w:t>+420 727 966 017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FC7B93" w:rsidRDefault="002B4FA4" w:rsidP="002B4FA4">
            <w:r w:rsidRPr="00FC7B93">
              <w:t>E-mail</w:t>
            </w:r>
          </w:p>
        </w:tc>
        <w:tc>
          <w:tcPr>
            <w:tcW w:w="2552" w:type="dxa"/>
          </w:tcPr>
          <w:p w14:paraId="4A0D9FEC" w14:textId="70DA3806" w:rsidR="002B4FA4" w:rsidRPr="00FC7B93" w:rsidRDefault="00FC7B93" w:rsidP="002B4FA4">
            <w:r w:rsidRPr="00FC7B93">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1C86E2CB" w:rsidR="00B43526" w:rsidRPr="001E212F" w:rsidRDefault="0042421F" w:rsidP="00B43526">
      <w:pPr>
        <w:tabs>
          <w:tab w:val="center" w:pos="4961"/>
          <w:tab w:val="right" w:pos="9923"/>
        </w:tabs>
        <w:suppressAutoHyphens/>
        <w:spacing w:before="240" w:after="0"/>
        <w:jc w:val="center"/>
        <w:rPr>
          <w:rFonts w:cs="Arial"/>
          <w:b/>
          <w:bCs/>
          <w:iCs/>
        </w:rPr>
      </w:pPr>
      <w:bookmarkStart w:id="0" w:name="_Hlk145492321"/>
      <w:r>
        <w:rPr>
          <w:rFonts w:cs="Arial"/>
          <w:b/>
          <w:bCs/>
          <w:iCs/>
        </w:rPr>
        <w:t>z</w:t>
      </w:r>
      <w:r w:rsidRPr="00311C8F">
        <w:rPr>
          <w:rFonts w:cs="Arial"/>
          <w:b/>
          <w:bCs/>
          <w:iCs/>
        </w:rPr>
        <w:t xml:space="preserve">hotovení </w:t>
      </w:r>
      <w:r w:rsidR="001E212F" w:rsidRPr="001E212F">
        <w:rPr>
          <w:rFonts w:cs="Arial"/>
          <w:b/>
          <w:bCs/>
          <w:iCs/>
        </w:rPr>
        <w:t>Dokumentace pro povolení záměru, zpracování a podání žádosti o vydání povolení záměru, včetně hodnocení ekonomické efektivnosti, Projektové dokumentace pro provádění stavby a výkon Dozoru projektanta při realizaci stavby</w:t>
      </w:r>
    </w:p>
    <w:p w14:paraId="7F9D3FB7" w14:textId="2F3CFEBC" w:rsidR="00E4561F" w:rsidRPr="00D16406" w:rsidRDefault="00E4561F" w:rsidP="00E4561F">
      <w:pPr>
        <w:autoSpaceDE w:val="0"/>
        <w:autoSpaceDN w:val="0"/>
        <w:adjustRightInd w:val="0"/>
        <w:spacing w:before="120" w:line="240" w:lineRule="auto"/>
        <w:jc w:val="center"/>
        <w:rPr>
          <w:rFonts w:cs="Verdana-BoldItalic"/>
          <w:b/>
          <w:bCs/>
          <w:i/>
          <w:iCs/>
          <w:sz w:val="28"/>
          <w:szCs w:val="28"/>
        </w:rPr>
      </w:pPr>
      <w:r w:rsidRPr="0042421F">
        <w:rPr>
          <w:rFonts w:cs="Verdana-BoldItalic"/>
          <w:b/>
          <w:bCs/>
          <w:i/>
          <w:iCs/>
          <w:sz w:val="28"/>
          <w:szCs w:val="28"/>
        </w:rPr>
        <w:t>„</w:t>
      </w:r>
      <w:r w:rsidR="0042421F" w:rsidRPr="0042421F">
        <w:rPr>
          <w:b/>
          <w:sz w:val="28"/>
          <w:szCs w:val="28"/>
        </w:rPr>
        <w:t>Zřízení nové kolejové váhy v obvodu ŽST Plzeň hl. n.</w:t>
      </w:r>
      <w:r w:rsidRPr="0042421F">
        <w:rPr>
          <w:rFonts w:cs="Verdana-BoldItalic"/>
          <w:b/>
          <w:bCs/>
          <w:i/>
          <w:iCs/>
          <w:sz w:val="28"/>
          <w:szCs w:val="28"/>
        </w:rPr>
        <w:t>“</w:t>
      </w:r>
      <w:bookmarkEnd w:id="0"/>
    </w:p>
    <w:p w14:paraId="1DD84ECD" w14:textId="54C9C546"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FB36E4">
        <w:rPr>
          <w:rFonts w:cs="Arial"/>
        </w:rPr>
        <w:t>3273214993 / 5323540005</w:t>
      </w:r>
    </w:p>
    <w:p w14:paraId="6E7CA863" w14:textId="7801D5BA" w:rsidR="004850CE" w:rsidRPr="00FB36E4"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530762">
        <w:rPr>
          <w:rFonts w:cs="Arial"/>
        </w:rPr>
        <w:t>61824032</w:t>
      </w:r>
    </w:p>
    <w:p w14:paraId="57884BE8" w14:textId="08DF75BF" w:rsidR="007A1217" w:rsidRPr="00FB36E4" w:rsidRDefault="007A1217" w:rsidP="00F345CA">
      <w:pPr>
        <w:suppressAutoHyphens/>
        <w:spacing w:after="0" w:line="240" w:lineRule="auto"/>
        <w:jc w:val="both"/>
        <w:rPr>
          <w:rFonts w:cs="Arial"/>
        </w:rPr>
      </w:pPr>
      <w:r w:rsidRPr="00FB36E4">
        <w:rPr>
          <w:rFonts w:cs="Arial"/>
        </w:rPr>
        <w:t>Druh veřejné zakázky:</w:t>
      </w:r>
      <w:r w:rsidRPr="00FB36E4">
        <w:rPr>
          <w:rFonts w:cs="Arial"/>
        </w:rPr>
        <w:tab/>
      </w:r>
      <w:r w:rsidRPr="00FB36E4">
        <w:rPr>
          <w:rFonts w:cs="Arial"/>
        </w:rPr>
        <w:tab/>
      </w:r>
      <w:r w:rsidR="00167963" w:rsidRPr="00FB36E4">
        <w:rPr>
          <w:rFonts w:cs="Arial"/>
        </w:rPr>
        <w:tab/>
      </w:r>
      <w:r w:rsidRPr="00FB36E4">
        <w:rPr>
          <w:rFonts w:cs="Arial"/>
        </w:rPr>
        <w:t>služby</w:t>
      </w:r>
    </w:p>
    <w:p w14:paraId="7BF76D40" w14:textId="77777777" w:rsidR="0098775A" w:rsidRPr="00F30C22" w:rsidRDefault="0098775A" w:rsidP="00F345CA">
      <w:pPr>
        <w:suppressAutoHyphens/>
        <w:spacing w:after="0" w:line="240" w:lineRule="auto"/>
        <w:jc w:val="both"/>
        <w:rPr>
          <w:rFonts w:cs="Arial"/>
        </w:rPr>
      </w:pPr>
      <w:r w:rsidRPr="00FB36E4">
        <w:rPr>
          <w:rFonts w:cs="Arial"/>
        </w:rPr>
        <w:t>Charakteristika veřejné zakázky:</w:t>
      </w:r>
      <w:r w:rsidRPr="00FB36E4">
        <w:rPr>
          <w:rFonts w:cs="Arial"/>
        </w:rPr>
        <w:tab/>
        <w:t>podlimitní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824D4C">
        <w:rPr>
          <w:rFonts w:cs="Arial"/>
        </w:rPr>
        <w:t>zastoupená Ing. Petrem Hofhanzlem, ředitelem Stavební</w:t>
      </w:r>
      <w:r w:rsidRPr="00AD7C32">
        <w:rPr>
          <w:rFonts w:cs="Arial"/>
        </w:rPr>
        <w:t xml:space="preserve">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195731C" w14:textId="761CBED6" w:rsidR="00001117" w:rsidRDefault="00824D4C" w:rsidP="004850CE">
      <w:pPr>
        <w:suppressAutoHyphens/>
        <w:spacing w:after="0"/>
        <w:jc w:val="both"/>
      </w:pPr>
      <w:r w:rsidRPr="00824D4C">
        <w:rPr>
          <w:rFonts w:cs="Arial"/>
        </w:rPr>
        <w:t>Ing. Jana Šedová</w:t>
      </w:r>
      <w:r w:rsidR="00235851" w:rsidRPr="00824D4C">
        <w:rPr>
          <w:rFonts w:cs="Arial"/>
        </w:rPr>
        <w:t xml:space="preserve">, </w:t>
      </w:r>
      <w:r w:rsidR="00046D36" w:rsidRPr="00824D4C">
        <w:rPr>
          <w:rFonts w:cs="Arial"/>
        </w:rPr>
        <w:t xml:space="preserve">mobil: </w:t>
      </w:r>
      <w:r w:rsidR="00B43526" w:rsidRPr="00824D4C">
        <w:rPr>
          <w:rFonts w:cs="Arial"/>
        </w:rPr>
        <w:t>+420</w:t>
      </w:r>
      <w:r w:rsidRPr="00824D4C">
        <w:rPr>
          <w:rFonts w:cs="Arial"/>
        </w:rPr>
        <w:t> 727 966 017</w:t>
      </w:r>
      <w:r w:rsidR="00B43526" w:rsidRPr="00824D4C">
        <w:rPr>
          <w:rFonts w:cs="Arial"/>
        </w:rPr>
        <w:t>,</w:t>
      </w:r>
      <w:r w:rsidR="00B43526" w:rsidRPr="00D57767">
        <w:rPr>
          <w:rFonts w:cs="Arial"/>
        </w:rPr>
        <w:t xml:space="preserve"> e-mail: </w:t>
      </w:r>
      <w:hyperlink r:id="rId11" w:history="1">
        <w:r w:rsidRPr="002A0214">
          <w:rPr>
            <w:rStyle w:val="Hypertextovodkaz"/>
          </w:rPr>
          <w:t>sedova@spravazeleznic.cz</w:t>
        </w:r>
      </w:hyperlink>
    </w:p>
    <w:p w14:paraId="64FE69BB" w14:textId="77777777" w:rsidR="00824D4C" w:rsidRDefault="00824D4C"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440528CA" w14:textId="77777777" w:rsidR="00E06A79" w:rsidRPr="00E06A79" w:rsidRDefault="00E06A79" w:rsidP="00E06A79">
      <w:pPr>
        <w:pStyle w:val="Odstavecseseznamem"/>
        <w:numPr>
          <w:ilvl w:val="1"/>
          <w:numId w:val="15"/>
        </w:numPr>
        <w:suppressAutoHyphens/>
        <w:spacing w:after="120"/>
        <w:contextualSpacing w:val="0"/>
        <w:jc w:val="both"/>
        <w:rPr>
          <w:rFonts w:cs="Arial"/>
        </w:rPr>
      </w:pPr>
      <w:r w:rsidRPr="00E06A79">
        <w:t>Předmětem Díla „</w:t>
      </w:r>
      <w:r w:rsidRPr="00E06A79">
        <w:rPr>
          <w:b/>
          <w:bCs/>
        </w:rPr>
        <w:t>Zřízení nové kolejové váhy v obvodu ŽST Plzeň hl. n.</w:t>
      </w:r>
      <w:r w:rsidRPr="00E06A79">
        <w:t xml:space="preserve">“ je: </w:t>
      </w:r>
    </w:p>
    <w:p w14:paraId="14FAB934" w14:textId="77777777" w:rsidR="00E06A79" w:rsidRDefault="00E06A79" w:rsidP="00E06A79">
      <w:pPr>
        <w:pStyle w:val="Default"/>
        <w:spacing w:after="155"/>
        <w:ind w:left="709"/>
        <w:jc w:val="both"/>
        <w:rPr>
          <w:sz w:val="18"/>
          <w:szCs w:val="18"/>
        </w:rPr>
      </w:pPr>
      <w:r>
        <w:rPr>
          <w:sz w:val="18"/>
          <w:szCs w:val="18"/>
        </w:rPr>
        <w:t xml:space="preserve">a) </w:t>
      </w:r>
      <w:r>
        <w:rPr>
          <w:b/>
          <w:bCs/>
          <w:sz w:val="18"/>
          <w:szCs w:val="18"/>
        </w:rPr>
        <w:t xml:space="preserve">Zhotovení Projektové dokumentace pro společné povolení, </w:t>
      </w:r>
      <w:r>
        <w:rPr>
          <w:sz w:val="18"/>
          <w:szCs w:val="18"/>
        </w:rPr>
        <w:t xml:space="preserve">která specifikuje předmět Díla v takovém rozsahu, aby ji bylo možno projednat ve společném stavebním a územním řízení, získat pravomocné společné povolení záměru dle zákona č. 283/2021 Sb., stavební zákon, účinného od 1. 1. 2024 (dále jen NSZ), včetně notifikace autorizovanou osobou, zajištění výkonu Dozoru projektanta při zhotovení stavby a činností koordinátora BOZP při práci na staveništi ve fázi přípravy včetně zpracování plánu BOZP na staveništi a manuálu údržby. </w:t>
      </w:r>
    </w:p>
    <w:p w14:paraId="719FBA55" w14:textId="77777777" w:rsidR="00E06A79" w:rsidRDefault="00E06A79" w:rsidP="00E06A79">
      <w:pPr>
        <w:pStyle w:val="Default"/>
        <w:spacing w:after="155"/>
        <w:ind w:left="709"/>
        <w:jc w:val="both"/>
        <w:rPr>
          <w:sz w:val="18"/>
          <w:szCs w:val="18"/>
        </w:rPr>
      </w:pPr>
      <w:r>
        <w:rPr>
          <w:sz w:val="18"/>
          <w:szCs w:val="18"/>
        </w:rPr>
        <w:t xml:space="preserve">b) </w:t>
      </w:r>
      <w:r>
        <w:rPr>
          <w:b/>
          <w:bCs/>
          <w:sz w:val="18"/>
          <w:szCs w:val="18"/>
        </w:rPr>
        <w:t xml:space="preserve">Zpracování a podání žádosti o vydání společného povolení záměru </w:t>
      </w:r>
      <w:r>
        <w:rPr>
          <w:sz w:val="18"/>
          <w:szCs w:val="18"/>
        </w:rPr>
        <w:t xml:space="preserve">dle NSZ, včetně všech vyžadovaných podkladů, jejímž výsledkem bude vydání společného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17BC42CC" w14:textId="77777777" w:rsidR="00E06A79" w:rsidRDefault="00E06A79" w:rsidP="00E06A79">
      <w:pPr>
        <w:pStyle w:val="Default"/>
        <w:spacing w:after="155"/>
        <w:ind w:left="709"/>
        <w:jc w:val="both"/>
        <w:rPr>
          <w:sz w:val="18"/>
          <w:szCs w:val="18"/>
        </w:rPr>
      </w:pPr>
      <w:r>
        <w:rPr>
          <w:sz w:val="18"/>
          <w:szCs w:val="18"/>
        </w:rPr>
        <w:t xml:space="preserve">c) </w:t>
      </w:r>
      <w:r>
        <w:rPr>
          <w:b/>
          <w:bCs/>
          <w:sz w:val="18"/>
          <w:szCs w:val="18"/>
        </w:rPr>
        <w:t>Zhotovení Projektové dokumentace pro provádění stavby</w:t>
      </w:r>
      <w:r>
        <w:rPr>
          <w:sz w:val="18"/>
          <w:szCs w:val="18"/>
        </w:rPr>
        <w:t xml:space="preserve">, která rozpracuje a vymezí požadavky na stavbu do podrobností, které specifikují předmět Díla v takovém rozsahu, aby byla podkladem pro výběrové řízení na zhotovení stavby. </w:t>
      </w:r>
    </w:p>
    <w:p w14:paraId="033FDCC5" w14:textId="2C5B3F96" w:rsidR="00E06A79" w:rsidRPr="00E06A79" w:rsidRDefault="00E06A79" w:rsidP="00E06A79">
      <w:pPr>
        <w:suppressAutoHyphens/>
        <w:spacing w:after="120"/>
        <w:ind w:left="709"/>
        <w:jc w:val="both"/>
        <w:rPr>
          <w:rFonts w:cs="Arial"/>
        </w:rPr>
      </w:pPr>
      <w:r>
        <w:t xml:space="preserve">d) </w:t>
      </w:r>
      <w:r w:rsidRPr="00E06A79">
        <w:rPr>
          <w:b/>
          <w:bCs/>
        </w:rPr>
        <w:t>Výkon Dozoru projektanta.</w:t>
      </w:r>
    </w:p>
    <w:p w14:paraId="6E913C69" w14:textId="02B20A40"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75B03671" w:rsidR="00F30C22" w:rsidRPr="00E06A79" w:rsidRDefault="004850CE" w:rsidP="0057152F">
      <w:pPr>
        <w:pStyle w:val="Odstavecseseznamem"/>
        <w:numPr>
          <w:ilvl w:val="1"/>
          <w:numId w:val="15"/>
        </w:numPr>
        <w:suppressAutoHyphens/>
        <w:spacing w:after="120"/>
        <w:contextualSpacing w:val="0"/>
        <w:jc w:val="both"/>
        <w:rPr>
          <w:rFonts w:cs="Arial"/>
        </w:rPr>
      </w:pPr>
      <w:r w:rsidRPr="00E06A79">
        <w:rPr>
          <w:rFonts w:cs="Arial"/>
        </w:rPr>
        <w:t>Zadavatelem stanovená předpokládaná hodnota zakázky činí </w:t>
      </w:r>
      <w:r w:rsidR="00E06A79" w:rsidRPr="00E06A79">
        <w:rPr>
          <w:rFonts w:cs="Arial"/>
          <w:b/>
          <w:bCs/>
        </w:rPr>
        <w:t>1 769 946</w:t>
      </w:r>
      <w:r w:rsidRPr="00E06A79">
        <w:rPr>
          <w:rFonts w:cs="Arial"/>
          <w:b/>
          <w:bCs/>
        </w:rPr>
        <w:t>,- Kč</w:t>
      </w:r>
      <w:r w:rsidRPr="00E06A79">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53910" w:rsidRPr="00AD7C32" w14:paraId="708A2C7A" w14:textId="77777777" w:rsidTr="00B205AE">
        <w:trPr>
          <w:trHeight w:val="393"/>
        </w:trPr>
        <w:tc>
          <w:tcPr>
            <w:tcW w:w="5000" w:type="pct"/>
            <w:gridSpan w:val="4"/>
            <w:tcBorders>
              <w:top w:val="nil"/>
              <w:left w:val="nil"/>
              <w:bottom w:val="nil"/>
              <w:right w:val="nil"/>
            </w:tcBorders>
            <w:shd w:val="clear" w:color="auto" w:fill="auto"/>
            <w:noWrap/>
            <w:vAlign w:val="bottom"/>
            <w:hideMark/>
          </w:tcPr>
          <w:p w14:paraId="4C9E50AF" w14:textId="77777777" w:rsidR="00453910" w:rsidRPr="00F173E4" w:rsidRDefault="00453910" w:rsidP="00B205AE">
            <w:pPr>
              <w:spacing w:before="120" w:after="120"/>
              <w:jc w:val="both"/>
              <w:rPr>
                <w:rFonts w:ascii="Verdana" w:hAnsi="Verdana" w:cs="Arial"/>
              </w:rPr>
            </w:pPr>
            <w:r w:rsidRPr="00F173E4">
              <w:rPr>
                <w:rFonts w:ascii="Verdana" w:hAnsi="Verdana" w:cs="Arial"/>
                <w:b/>
                <w:bCs/>
              </w:rPr>
              <w:t>Harmonogram plnění</w:t>
            </w:r>
          </w:p>
        </w:tc>
      </w:tr>
      <w:tr w:rsidR="00453910" w:rsidRPr="00CA2F8F" w14:paraId="2534EFEA" w14:textId="77777777" w:rsidTr="00F173E4">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FD93B87" w14:textId="77777777" w:rsidR="00453910" w:rsidRPr="00F173E4" w:rsidRDefault="00453910" w:rsidP="00BB5231">
            <w:pPr>
              <w:spacing w:after="0"/>
              <w:jc w:val="center"/>
              <w:rPr>
                <w:rFonts w:ascii="Verdana" w:hAnsi="Verdana" w:cs="Arial"/>
                <w:b/>
                <w:bCs/>
                <w:i/>
                <w:iCs/>
                <w:u w:val="single"/>
              </w:rPr>
            </w:pPr>
            <w:r w:rsidRPr="00F173E4">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auto" w:fill="auto"/>
            <w:vAlign w:val="center"/>
            <w:hideMark/>
          </w:tcPr>
          <w:p w14:paraId="4BCDA9F2" w14:textId="77777777" w:rsidR="00453910" w:rsidRPr="00F173E4" w:rsidRDefault="00453910" w:rsidP="00BB5231">
            <w:pPr>
              <w:spacing w:before="240" w:after="120"/>
              <w:jc w:val="center"/>
              <w:rPr>
                <w:rFonts w:ascii="Verdana" w:hAnsi="Verdana" w:cs="Arial"/>
                <w:b/>
                <w:bCs/>
                <w:i/>
                <w:iCs/>
                <w:u w:val="single"/>
              </w:rPr>
            </w:pPr>
            <w:r w:rsidRPr="00F173E4">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FD8527" w14:textId="77777777" w:rsidR="00453910" w:rsidRPr="00F173E4" w:rsidRDefault="00453910" w:rsidP="00BB5231">
            <w:pPr>
              <w:spacing w:after="0"/>
              <w:jc w:val="center"/>
              <w:rPr>
                <w:rFonts w:ascii="Verdana" w:hAnsi="Verdana" w:cs="Arial"/>
                <w:b/>
                <w:bCs/>
                <w:i/>
                <w:iCs/>
                <w:u w:val="single"/>
              </w:rPr>
            </w:pPr>
            <w:r w:rsidRPr="00F173E4">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7E9F3A6" w14:textId="77777777" w:rsidR="00453910" w:rsidRPr="00F173E4" w:rsidRDefault="00453910" w:rsidP="00BB5231">
            <w:pPr>
              <w:spacing w:after="0"/>
              <w:jc w:val="center"/>
              <w:rPr>
                <w:rFonts w:ascii="Verdana" w:hAnsi="Verdana" w:cs="Arial"/>
                <w:b/>
                <w:bCs/>
                <w:i/>
                <w:iCs/>
                <w:u w:val="single"/>
              </w:rPr>
            </w:pPr>
            <w:r w:rsidRPr="00F173E4">
              <w:rPr>
                <w:rFonts w:ascii="Verdana" w:hAnsi="Verdana" w:cs="Arial"/>
                <w:b/>
                <w:bCs/>
                <w:i/>
                <w:iCs/>
                <w:u w:val="single"/>
              </w:rPr>
              <w:t>Podmínky dokončení Dílčí etapy</w:t>
            </w:r>
          </w:p>
        </w:tc>
      </w:tr>
      <w:tr w:rsidR="00453910" w:rsidRPr="00CA2F8F" w14:paraId="4AD17DAB" w14:textId="77777777" w:rsidTr="00F173E4">
        <w:trPr>
          <w:trHeight w:val="424"/>
        </w:trPr>
        <w:tc>
          <w:tcPr>
            <w:tcW w:w="1101"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AE497DB" w14:textId="77777777" w:rsidR="00453910" w:rsidRPr="00F173E4" w:rsidRDefault="00453910" w:rsidP="00B205AE">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auto" w:fill="auto"/>
            <w:hideMark/>
          </w:tcPr>
          <w:p w14:paraId="2EA2A113" w14:textId="77777777" w:rsidR="00453910" w:rsidRPr="00F173E4" w:rsidRDefault="00453910" w:rsidP="00F974A1">
            <w:pPr>
              <w:spacing w:after="120"/>
              <w:jc w:val="center"/>
              <w:rPr>
                <w:rFonts w:ascii="Verdana" w:hAnsi="Verdana" w:cs="Arial"/>
                <w:i/>
                <w:iCs/>
              </w:rPr>
            </w:pPr>
            <w:r w:rsidRPr="00F173E4">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00A1AC3" w14:textId="77777777" w:rsidR="00453910" w:rsidRPr="00F173E4" w:rsidRDefault="00453910" w:rsidP="00B205AE">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EB181E9" w14:textId="77777777" w:rsidR="00453910" w:rsidRPr="00F173E4" w:rsidRDefault="00453910" w:rsidP="00B205AE">
            <w:pPr>
              <w:jc w:val="center"/>
              <w:rPr>
                <w:rFonts w:ascii="Verdana" w:hAnsi="Verdana" w:cs="Arial"/>
                <w:b/>
                <w:bCs/>
                <w:i/>
                <w:iCs/>
                <w:u w:val="single"/>
              </w:rPr>
            </w:pPr>
          </w:p>
        </w:tc>
      </w:tr>
      <w:tr w:rsidR="00453910" w:rsidRPr="00CA2F8F" w14:paraId="235C9786" w14:textId="77777777" w:rsidTr="00F173E4">
        <w:trPr>
          <w:trHeight w:val="700"/>
        </w:trPr>
        <w:tc>
          <w:tcPr>
            <w:tcW w:w="1101" w:type="pct"/>
            <w:tcBorders>
              <w:top w:val="nil"/>
              <w:left w:val="single" w:sz="8" w:space="0" w:color="auto"/>
              <w:bottom w:val="single" w:sz="8" w:space="0" w:color="auto"/>
              <w:right w:val="single" w:sz="8" w:space="0" w:color="auto"/>
            </w:tcBorders>
            <w:shd w:val="clear" w:color="auto" w:fill="auto"/>
            <w:vAlign w:val="center"/>
            <w:hideMark/>
          </w:tcPr>
          <w:p w14:paraId="61CEE189" w14:textId="77777777" w:rsidR="00453910" w:rsidRPr="00F173E4" w:rsidRDefault="00453910" w:rsidP="00B205AE">
            <w:pPr>
              <w:spacing w:after="0"/>
              <w:jc w:val="center"/>
              <w:rPr>
                <w:rFonts w:ascii="Verdana" w:hAnsi="Verdana" w:cs="Arial"/>
                <w:b/>
                <w:bCs/>
              </w:rPr>
            </w:pPr>
            <w:r w:rsidRPr="00F173E4">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auto" w:fill="auto"/>
            <w:vAlign w:val="center"/>
            <w:hideMark/>
          </w:tcPr>
          <w:p w14:paraId="58AF2B7F" w14:textId="77777777" w:rsidR="00453910" w:rsidRPr="00F173E4" w:rsidRDefault="00453910" w:rsidP="00B205AE">
            <w:pPr>
              <w:spacing w:after="0"/>
              <w:jc w:val="center"/>
              <w:rPr>
                <w:rFonts w:ascii="Verdana" w:hAnsi="Verdana" w:cs="Arial"/>
                <w:b/>
                <w:bCs/>
              </w:rPr>
            </w:pPr>
            <w:r w:rsidRPr="00F173E4">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auto" w:fill="auto"/>
            <w:vAlign w:val="center"/>
            <w:hideMark/>
          </w:tcPr>
          <w:p w14:paraId="53248219" w14:textId="77777777" w:rsidR="00453910" w:rsidRPr="00F173E4" w:rsidRDefault="00453910" w:rsidP="00B205AE">
            <w:pPr>
              <w:spacing w:after="0"/>
              <w:jc w:val="center"/>
              <w:rPr>
                <w:rFonts w:ascii="Verdana" w:hAnsi="Verdana" w:cs="Arial"/>
                <w:b/>
                <w:bCs/>
              </w:rPr>
            </w:pPr>
            <w:r w:rsidRPr="00F173E4">
              <w:rPr>
                <w:rFonts w:ascii="Verdana" w:hAnsi="Verdana" w:cs="Arial"/>
                <w:b/>
                <w:bCs/>
              </w:rPr>
              <w:t>-</w:t>
            </w:r>
          </w:p>
        </w:tc>
        <w:tc>
          <w:tcPr>
            <w:tcW w:w="1138" w:type="pct"/>
            <w:tcBorders>
              <w:top w:val="nil"/>
              <w:left w:val="nil"/>
              <w:bottom w:val="single" w:sz="8" w:space="0" w:color="auto"/>
              <w:right w:val="single" w:sz="8" w:space="0" w:color="auto"/>
            </w:tcBorders>
            <w:shd w:val="clear" w:color="auto" w:fill="auto"/>
            <w:vAlign w:val="center"/>
            <w:hideMark/>
          </w:tcPr>
          <w:p w14:paraId="3A9FE68E" w14:textId="77777777" w:rsidR="00453910" w:rsidRPr="00F173E4" w:rsidRDefault="00453910" w:rsidP="00B205AE">
            <w:pPr>
              <w:spacing w:after="0"/>
              <w:jc w:val="center"/>
              <w:rPr>
                <w:rFonts w:ascii="Verdana" w:hAnsi="Verdana" w:cs="Arial"/>
                <w:b/>
                <w:bCs/>
              </w:rPr>
            </w:pPr>
            <w:r w:rsidRPr="00F173E4">
              <w:rPr>
                <w:rFonts w:ascii="Verdana" w:hAnsi="Verdana" w:cs="Arial"/>
                <w:b/>
                <w:bCs/>
              </w:rPr>
              <w:t>-</w:t>
            </w:r>
          </w:p>
        </w:tc>
      </w:tr>
      <w:tr w:rsidR="00453910" w:rsidRPr="00CA2F8F" w14:paraId="2C13E93E" w14:textId="77777777" w:rsidTr="00F173E4">
        <w:trPr>
          <w:trHeight w:val="919"/>
        </w:trPr>
        <w:tc>
          <w:tcPr>
            <w:tcW w:w="1101" w:type="pct"/>
            <w:tcBorders>
              <w:top w:val="nil"/>
              <w:left w:val="single" w:sz="8" w:space="0" w:color="auto"/>
              <w:bottom w:val="single" w:sz="8" w:space="0" w:color="auto"/>
              <w:right w:val="single" w:sz="8" w:space="0" w:color="auto"/>
            </w:tcBorders>
            <w:shd w:val="clear" w:color="auto" w:fill="auto"/>
            <w:vAlign w:val="center"/>
          </w:tcPr>
          <w:p w14:paraId="322DC387" w14:textId="77777777" w:rsidR="00453910" w:rsidRPr="00F173E4" w:rsidRDefault="00453910" w:rsidP="00B205AE">
            <w:pPr>
              <w:spacing w:after="0"/>
              <w:jc w:val="center"/>
              <w:rPr>
                <w:rFonts w:ascii="Verdana" w:hAnsi="Verdana" w:cs="Arial"/>
                <w:b/>
                <w:bCs/>
              </w:rPr>
            </w:pPr>
            <w:r w:rsidRPr="00F173E4">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auto" w:fill="auto"/>
            <w:vAlign w:val="center"/>
          </w:tcPr>
          <w:p w14:paraId="20B2CF56" w14:textId="4623C2A0" w:rsidR="00453910" w:rsidRPr="00F173E4" w:rsidRDefault="00453910" w:rsidP="00B205AE">
            <w:pPr>
              <w:spacing w:after="0"/>
              <w:jc w:val="center"/>
              <w:rPr>
                <w:rFonts w:ascii="Verdana" w:hAnsi="Verdana" w:cs="Arial"/>
                <w:b/>
                <w:bCs/>
              </w:rPr>
            </w:pPr>
            <w:r w:rsidRPr="00F173E4">
              <w:rPr>
                <w:rFonts w:ascii="Verdana" w:hAnsi="Verdana" w:cs="Arial"/>
                <w:b/>
                <w:bCs/>
              </w:rPr>
              <w:t xml:space="preserve">do </w:t>
            </w:r>
            <w:r w:rsidR="00F173E4" w:rsidRPr="00F173E4">
              <w:rPr>
                <w:rFonts w:ascii="Verdana" w:hAnsi="Verdana" w:cs="Arial"/>
                <w:b/>
                <w:bCs/>
              </w:rPr>
              <w:t>8</w:t>
            </w:r>
            <w:r w:rsidRPr="00F173E4">
              <w:rPr>
                <w:rFonts w:ascii="Verdana" w:hAnsi="Verdana" w:cs="Arial"/>
                <w:b/>
                <w:bCs/>
              </w:rPr>
              <w:t xml:space="preserve"> měsíců po nabytí</w:t>
            </w:r>
          </w:p>
          <w:p w14:paraId="06C8E00D" w14:textId="77777777" w:rsidR="00453910" w:rsidRPr="00F173E4" w:rsidRDefault="00453910" w:rsidP="00B205AE">
            <w:pPr>
              <w:spacing w:after="0"/>
              <w:jc w:val="center"/>
              <w:rPr>
                <w:rFonts w:ascii="Verdana" w:hAnsi="Verdana" w:cs="Arial"/>
                <w:b/>
                <w:bCs/>
              </w:rPr>
            </w:pPr>
            <w:r w:rsidRPr="00F173E4">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auto" w:fill="auto"/>
            <w:vAlign w:val="center"/>
          </w:tcPr>
          <w:p w14:paraId="67523AAE" w14:textId="5E938FEA" w:rsidR="00453910" w:rsidRPr="00F173E4" w:rsidRDefault="00F173E4" w:rsidP="00F173E4">
            <w:pPr>
              <w:pStyle w:val="TPText-3neslovan"/>
              <w:tabs>
                <w:tab w:val="num" w:pos="851"/>
              </w:tabs>
              <w:spacing w:before="0"/>
              <w:ind w:left="0"/>
              <w:jc w:val="center"/>
              <w:rPr>
                <w:rFonts w:ascii="Verdana" w:hAnsi="Verdana"/>
                <w:sz w:val="18"/>
                <w:szCs w:val="18"/>
              </w:rPr>
            </w:pPr>
            <w:r w:rsidRPr="00F173E4">
              <w:t xml:space="preserve"> </w:t>
            </w:r>
            <w:r w:rsidRPr="00F173E4">
              <w:rPr>
                <w:rFonts w:ascii="Verdana" w:hAnsi="Verdana"/>
                <w:sz w:val="18"/>
                <w:szCs w:val="18"/>
              </w:rPr>
              <w:t>Zpracování a předání dílčí části Projektových dokumentací (DUSP) v rozsahu Přílohy č. 5 vyhlášky č. 146/2008 Sb. k připomínkám</w:t>
            </w:r>
          </w:p>
          <w:p w14:paraId="5CA709C2" w14:textId="34B7C100" w:rsidR="00F173E4" w:rsidRPr="00F173E4" w:rsidRDefault="00F173E4" w:rsidP="00F173E4">
            <w:pPr>
              <w:pStyle w:val="TPText-3neslovan"/>
              <w:tabs>
                <w:tab w:val="num" w:pos="851"/>
              </w:tabs>
              <w:spacing w:before="0"/>
              <w:ind w:left="0"/>
              <w:jc w:val="center"/>
              <w:rPr>
                <w:rFonts w:ascii="Verdana" w:hAnsi="Verdana"/>
              </w:rPr>
            </w:pPr>
            <w:r w:rsidRPr="00F173E4">
              <w:rPr>
                <w:rFonts w:ascii="Verdana" w:hAnsi="Verdana"/>
                <w:sz w:val="18"/>
                <w:szCs w:val="18"/>
              </w:rPr>
              <w:t>(fakturace 40% Ceny dokumentace DUSP a PDPS)</w:t>
            </w:r>
          </w:p>
        </w:tc>
        <w:tc>
          <w:tcPr>
            <w:tcW w:w="1138" w:type="pct"/>
            <w:tcBorders>
              <w:top w:val="nil"/>
              <w:left w:val="nil"/>
              <w:bottom w:val="single" w:sz="8" w:space="0" w:color="auto"/>
              <w:right w:val="single" w:sz="8" w:space="0" w:color="auto"/>
            </w:tcBorders>
            <w:shd w:val="clear" w:color="auto" w:fill="auto"/>
            <w:vAlign w:val="center"/>
          </w:tcPr>
          <w:p w14:paraId="0F2E489F" w14:textId="77777777" w:rsidR="00453910" w:rsidRPr="00F173E4" w:rsidRDefault="00453910" w:rsidP="00B205AE">
            <w:pPr>
              <w:spacing w:after="0"/>
              <w:ind w:left="73" w:right="-54"/>
              <w:jc w:val="center"/>
              <w:rPr>
                <w:rFonts w:ascii="Verdana" w:hAnsi="Verdana" w:cs="Arial"/>
              </w:rPr>
            </w:pPr>
            <w:r w:rsidRPr="00F173E4">
              <w:rPr>
                <w:rFonts w:ascii="Verdana" w:hAnsi="Verdana" w:cs="Arial"/>
              </w:rPr>
              <w:t>Předávací</w:t>
            </w:r>
          </w:p>
          <w:p w14:paraId="7DA4B9E0" w14:textId="77777777" w:rsidR="00453910" w:rsidRPr="00F173E4" w:rsidRDefault="00453910" w:rsidP="00B205AE">
            <w:pPr>
              <w:spacing w:after="0"/>
              <w:ind w:left="73" w:right="-54"/>
              <w:jc w:val="center"/>
              <w:rPr>
                <w:rFonts w:ascii="Verdana" w:hAnsi="Verdana" w:cs="Arial"/>
              </w:rPr>
            </w:pPr>
            <w:r w:rsidRPr="00F173E4">
              <w:rPr>
                <w:rFonts w:ascii="Verdana" w:hAnsi="Verdana" w:cs="Arial"/>
              </w:rPr>
              <w:t>protokol pro</w:t>
            </w:r>
          </w:p>
          <w:p w14:paraId="337BB678" w14:textId="77777777" w:rsidR="00453910" w:rsidRPr="00F173E4" w:rsidRDefault="00453910" w:rsidP="00B205AE">
            <w:pPr>
              <w:spacing w:after="0"/>
              <w:ind w:left="73" w:right="-54"/>
              <w:jc w:val="center"/>
              <w:rPr>
                <w:rFonts w:ascii="Verdana" w:hAnsi="Verdana" w:cs="Arial"/>
              </w:rPr>
            </w:pPr>
            <w:r w:rsidRPr="00F173E4">
              <w:rPr>
                <w:rFonts w:ascii="Verdana" w:hAnsi="Verdana" w:cs="Arial"/>
              </w:rPr>
              <w:t>část díla</w:t>
            </w:r>
          </w:p>
        </w:tc>
      </w:tr>
      <w:tr w:rsidR="00453910" w:rsidRPr="00CA2F8F" w14:paraId="1D397C32" w14:textId="77777777" w:rsidTr="008F2D16">
        <w:trPr>
          <w:trHeight w:val="2265"/>
        </w:trPr>
        <w:tc>
          <w:tcPr>
            <w:tcW w:w="1101" w:type="pct"/>
            <w:tcBorders>
              <w:top w:val="nil"/>
              <w:left w:val="single" w:sz="8" w:space="0" w:color="auto"/>
              <w:bottom w:val="single" w:sz="8" w:space="0" w:color="auto"/>
              <w:right w:val="single" w:sz="8" w:space="0" w:color="auto"/>
            </w:tcBorders>
            <w:shd w:val="clear" w:color="000000" w:fill="FFFFFF"/>
            <w:vAlign w:val="center"/>
          </w:tcPr>
          <w:p w14:paraId="12E7CC96" w14:textId="77777777" w:rsidR="00453910" w:rsidRPr="00CA17EE" w:rsidRDefault="00453910" w:rsidP="00B205AE">
            <w:pPr>
              <w:spacing w:after="0"/>
              <w:jc w:val="center"/>
              <w:rPr>
                <w:rFonts w:ascii="Verdana" w:hAnsi="Verdana" w:cs="Arial"/>
                <w:b/>
                <w:bCs/>
              </w:rPr>
            </w:pPr>
            <w:r w:rsidRPr="00CA17EE">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14:paraId="61A060E5" w14:textId="6317C855" w:rsidR="00453910" w:rsidRPr="00CA17EE" w:rsidRDefault="00453910" w:rsidP="00B205AE">
            <w:pPr>
              <w:spacing w:after="0"/>
              <w:jc w:val="center"/>
              <w:rPr>
                <w:rFonts w:ascii="Verdana" w:hAnsi="Verdana" w:cs="Arial"/>
                <w:b/>
                <w:bCs/>
              </w:rPr>
            </w:pPr>
            <w:r w:rsidRPr="00CA17EE">
              <w:rPr>
                <w:rFonts w:ascii="Verdana" w:hAnsi="Verdana" w:cs="Arial"/>
                <w:b/>
                <w:bCs/>
              </w:rPr>
              <w:t xml:space="preserve">do </w:t>
            </w:r>
            <w:r w:rsidR="00CA17EE" w:rsidRPr="00CA17EE">
              <w:rPr>
                <w:rFonts w:ascii="Verdana" w:hAnsi="Verdana" w:cs="Arial"/>
                <w:b/>
                <w:bCs/>
              </w:rPr>
              <w:t>11</w:t>
            </w:r>
            <w:r w:rsidRPr="00CA17EE">
              <w:rPr>
                <w:rFonts w:ascii="Verdana" w:hAnsi="Verdana" w:cs="Arial"/>
                <w:b/>
                <w:bCs/>
              </w:rPr>
              <w:t xml:space="preserve"> měsíců po nabytí</w:t>
            </w:r>
          </w:p>
          <w:p w14:paraId="60B21931" w14:textId="77777777" w:rsidR="00453910" w:rsidRPr="00CA17EE" w:rsidRDefault="00453910" w:rsidP="00B205AE">
            <w:pPr>
              <w:spacing w:after="0"/>
              <w:jc w:val="center"/>
              <w:rPr>
                <w:rFonts w:ascii="Verdana" w:hAnsi="Verdana" w:cs="Arial"/>
                <w:b/>
                <w:bCs/>
              </w:rPr>
            </w:pPr>
            <w:r w:rsidRPr="00CA17EE">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2B7D4B23" w14:textId="04B1E5E3" w:rsidR="00453910" w:rsidRPr="00CA17EE" w:rsidRDefault="00CA17EE" w:rsidP="00CA17EE">
            <w:pPr>
              <w:pStyle w:val="TPText-3neslovan"/>
              <w:tabs>
                <w:tab w:val="num" w:pos="851"/>
              </w:tabs>
              <w:spacing w:before="0"/>
              <w:ind w:left="0"/>
              <w:jc w:val="center"/>
              <w:rPr>
                <w:rFonts w:ascii="Verdana" w:hAnsi="Verdana"/>
                <w:bCs/>
                <w:sz w:val="18"/>
                <w:szCs w:val="18"/>
              </w:rPr>
            </w:pPr>
            <w:r w:rsidRPr="00CA17EE">
              <w:t xml:space="preserve"> </w:t>
            </w:r>
            <w:r w:rsidRPr="00CA17EE">
              <w:rPr>
                <w:rFonts w:ascii="Verdana" w:hAnsi="Verdana"/>
                <w:sz w:val="18"/>
                <w:szCs w:val="18"/>
              </w:rPr>
              <w:t>Zpracování a předání dílčích částí Projektových dokumentací v rozsahu Přílohy č. 5 vyhlášky č.146/2008 Sb. se zapracovanými připomínkami a vypořádání DOSS a všech dalších stanovisek pro získání společného povolení</w:t>
            </w:r>
          </w:p>
        </w:tc>
        <w:tc>
          <w:tcPr>
            <w:tcW w:w="1138" w:type="pct"/>
            <w:tcBorders>
              <w:top w:val="nil"/>
              <w:left w:val="nil"/>
              <w:bottom w:val="single" w:sz="8" w:space="0" w:color="auto"/>
              <w:right w:val="single" w:sz="8" w:space="0" w:color="auto"/>
            </w:tcBorders>
            <w:shd w:val="clear" w:color="000000" w:fill="FFFFFF"/>
            <w:vAlign w:val="center"/>
          </w:tcPr>
          <w:p w14:paraId="00B84B7F" w14:textId="77777777" w:rsidR="00453910" w:rsidRPr="00CA17EE" w:rsidRDefault="00453910" w:rsidP="00B205AE">
            <w:pPr>
              <w:spacing w:after="0"/>
              <w:ind w:left="73" w:right="-54"/>
              <w:jc w:val="center"/>
              <w:rPr>
                <w:rFonts w:ascii="Verdana" w:hAnsi="Verdana" w:cs="Arial"/>
              </w:rPr>
            </w:pPr>
            <w:r w:rsidRPr="00CA17EE">
              <w:rPr>
                <w:rFonts w:ascii="Verdana" w:hAnsi="Verdana" w:cs="Arial"/>
              </w:rPr>
              <w:t>Předávací</w:t>
            </w:r>
          </w:p>
          <w:p w14:paraId="3934E914" w14:textId="77777777" w:rsidR="00453910" w:rsidRPr="00CA17EE" w:rsidRDefault="00453910" w:rsidP="00B205AE">
            <w:pPr>
              <w:spacing w:after="0"/>
              <w:ind w:left="73" w:right="-54"/>
              <w:jc w:val="center"/>
              <w:rPr>
                <w:rFonts w:ascii="Verdana" w:hAnsi="Verdana" w:cs="Arial"/>
              </w:rPr>
            </w:pPr>
            <w:r w:rsidRPr="00CA17EE">
              <w:rPr>
                <w:rFonts w:ascii="Verdana" w:hAnsi="Verdana" w:cs="Arial"/>
              </w:rPr>
              <w:t>protokol pro</w:t>
            </w:r>
          </w:p>
          <w:p w14:paraId="3DDE88F9" w14:textId="77777777" w:rsidR="00453910" w:rsidRPr="00CA17EE" w:rsidRDefault="00453910" w:rsidP="00B205AE">
            <w:pPr>
              <w:spacing w:after="0"/>
              <w:ind w:left="73" w:right="-54"/>
              <w:jc w:val="center"/>
              <w:rPr>
                <w:rFonts w:ascii="Verdana" w:hAnsi="Verdana" w:cs="Arial"/>
              </w:rPr>
            </w:pPr>
            <w:r w:rsidRPr="00CA17EE">
              <w:rPr>
                <w:rFonts w:ascii="Verdana" w:hAnsi="Verdana" w:cs="Arial"/>
              </w:rPr>
              <w:t>část díla</w:t>
            </w:r>
          </w:p>
        </w:tc>
      </w:tr>
      <w:tr w:rsidR="00453910" w:rsidRPr="00CA2F8F" w14:paraId="7BB32358" w14:textId="77777777" w:rsidTr="00B205AE">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415E456F" w14:textId="77777777" w:rsidR="00453910" w:rsidRPr="001C26A9" w:rsidRDefault="00453910" w:rsidP="00B205AE">
            <w:pPr>
              <w:spacing w:after="0"/>
              <w:jc w:val="center"/>
              <w:rPr>
                <w:rFonts w:ascii="Verdana" w:hAnsi="Verdana" w:cs="Arial"/>
                <w:b/>
                <w:bCs/>
              </w:rPr>
            </w:pPr>
            <w:r w:rsidRPr="001C26A9">
              <w:rPr>
                <w:rFonts w:ascii="Verdana" w:hAnsi="Verdana" w:cs="Arial"/>
                <w:b/>
                <w:bCs/>
              </w:rPr>
              <w:t>3. Dílčí etapa</w:t>
            </w:r>
          </w:p>
        </w:tc>
        <w:tc>
          <w:tcPr>
            <w:tcW w:w="1331" w:type="pct"/>
            <w:tcBorders>
              <w:top w:val="nil"/>
              <w:left w:val="nil"/>
              <w:bottom w:val="single" w:sz="8" w:space="0" w:color="auto"/>
              <w:right w:val="single" w:sz="8" w:space="0" w:color="auto"/>
            </w:tcBorders>
            <w:shd w:val="clear" w:color="000000" w:fill="FFFFFF"/>
            <w:vAlign w:val="center"/>
          </w:tcPr>
          <w:p w14:paraId="589A80CD" w14:textId="1A940197" w:rsidR="00453910" w:rsidRPr="001C26A9" w:rsidRDefault="00453910" w:rsidP="00B205AE">
            <w:pPr>
              <w:spacing w:after="0"/>
              <w:jc w:val="center"/>
              <w:rPr>
                <w:rFonts w:ascii="Verdana" w:hAnsi="Verdana" w:cs="Arial"/>
                <w:b/>
                <w:bCs/>
              </w:rPr>
            </w:pPr>
            <w:r w:rsidRPr="001C26A9">
              <w:rPr>
                <w:rFonts w:ascii="Verdana" w:hAnsi="Verdana" w:cs="Arial"/>
                <w:b/>
                <w:bCs/>
              </w:rPr>
              <w:t xml:space="preserve">do </w:t>
            </w:r>
            <w:r w:rsidR="001C26A9" w:rsidRPr="001C26A9">
              <w:rPr>
                <w:rFonts w:ascii="Verdana" w:hAnsi="Verdana" w:cs="Arial"/>
                <w:b/>
                <w:bCs/>
              </w:rPr>
              <w:t>14</w:t>
            </w:r>
            <w:r w:rsidRPr="001C26A9">
              <w:rPr>
                <w:rFonts w:ascii="Verdana" w:hAnsi="Verdana" w:cs="Arial"/>
                <w:b/>
                <w:bCs/>
              </w:rPr>
              <w:t xml:space="preserve"> měsíců po nabytí</w:t>
            </w:r>
          </w:p>
          <w:p w14:paraId="3A4C0B45" w14:textId="77777777" w:rsidR="00453910" w:rsidRPr="001C26A9" w:rsidRDefault="00453910" w:rsidP="00B205AE">
            <w:pPr>
              <w:spacing w:after="0"/>
              <w:jc w:val="center"/>
              <w:rPr>
                <w:rFonts w:ascii="Verdana" w:hAnsi="Verdana" w:cs="Arial"/>
                <w:b/>
                <w:bCs/>
              </w:rPr>
            </w:pPr>
            <w:r w:rsidRPr="001C26A9">
              <w:rPr>
                <w:rFonts w:ascii="Verdana" w:hAnsi="Verdana" w:cs="Arial"/>
                <w:b/>
                <w:bCs/>
              </w:rPr>
              <w:t>účinnosti SOD</w:t>
            </w:r>
          </w:p>
        </w:tc>
        <w:tc>
          <w:tcPr>
            <w:tcW w:w="1430" w:type="pct"/>
            <w:tcBorders>
              <w:top w:val="nil"/>
              <w:left w:val="nil"/>
              <w:bottom w:val="single" w:sz="8" w:space="0" w:color="auto"/>
              <w:right w:val="single" w:sz="8" w:space="0" w:color="auto"/>
            </w:tcBorders>
            <w:shd w:val="clear" w:color="000000" w:fill="FFFFFF"/>
            <w:vAlign w:val="center"/>
          </w:tcPr>
          <w:p w14:paraId="103D8540" w14:textId="77777777" w:rsidR="00453910" w:rsidRDefault="001C26A9" w:rsidP="001C26A9">
            <w:pPr>
              <w:pStyle w:val="TSlneksmlouvy"/>
              <w:spacing w:before="0" w:after="0" w:line="240" w:lineRule="auto"/>
              <w:ind w:left="0" w:right="-54"/>
              <w:rPr>
                <w:rFonts w:ascii="Verdana" w:eastAsia="Calibri" w:hAnsi="Verdana" w:cs="Arial"/>
                <w:b w:val="0"/>
                <w:sz w:val="18"/>
                <w:szCs w:val="18"/>
                <w:u w:val="none"/>
                <w:lang w:val="cs-CZ"/>
              </w:rPr>
            </w:pPr>
            <w:r w:rsidRPr="001C26A9">
              <w:rPr>
                <w:rFonts w:ascii="Verdana" w:eastAsia="Calibri" w:hAnsi="Verdana" w:cs="Arial"/>
                <w:b w:val="0"/>
                <w:sz w:val="18"/>
                <w:szCs w:val="18"/>
                <w:u w:val="none"/>
                <w:lang w:val="cs-CZ"/>
              </w:rPr>
              <w:t xml:space="preserve"> Zpracování a předání dílčích částí Projektových dokumentací v rozsahu Přílohy č. 5 (DUSP) vyhlášky č.146/2008 Sb. se zapracovanými připomínkami a zajištění společného povolení v právní moci včetně dokumentace pro provádění stavby (PDPS)</w:t>
            </w:r>
          </w:p>
          <w:p w14:paraId="09E2A41B" w14:textId="5A968A4A" w:rsidR="001C26A9" w:rsidRPr="001C26A9" w:rsidRDefault="001C26A9" w:rsidP="001F0656">
            <w:pPr>
              <w:spacing w:after="0"/>
              <w:jc w:val="center"/>
            </w:pPr>
            <w:r w:rsidRPr="00F173E4">
              <w:rPr>
                <w:rFonts w:ascii="Verdana" w:hAnsi="Verdana"/>
              </w:rPr>
              <w:t xml:space="preserve">(fakturace </w:t>
            </w:r>
            <w:r>
              <w:rPr>
                <w:rFonts w:ascii="Verdana" w:hAnsi="Verdana"/>
              </w:rPr>
              <w:t>6</w:t>
            </w:r>
            <w:r w:rsidRPr="00F173E4">
              <w:rPr>
                <w:rFonts w:ascii="Verdana" w:hAnsi="Verdana"/>
              </w:rPr>
              <w:t>0% Ceny dokumentace DUSP a PDPS)</w:t>
            </w:r>
          </w:p>
        </w:tc>
        <w:tc>
          <w:tcPr>
            <w:tcW w:w="1138" w:type="pct"/>
            <w:tcBorders>
              <w:top w:val="nil"/>
              <w:left w:val="nil"/>
              <w:bottom w:val="single" w:sz="8" w:space="0" w:color="auto"/>
              <w:right w:val="single" w:sz="8" w:space="0" w:color="auto"/>
            </w:tcBorders>
            <w:shd w:val="clear" w:color="000000" w:fill="FFFFFF"/>
            <w:vAlign w:val="center"/>
          </w:tcPr>
          <w:p w14:paraId="56BE5D53"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Předání</w:t>
            </w:r>
          </w:p>
          <w:p w14:paraId="600F235D"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kompletního</w:t>
            </w:r>
          </w:p>
          <w:p w14:paraId="3FCC7FA7"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majetkového</w:t>
            </w:r>
          </w:p>
          <w:p w14:paraId="2349ED7B"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vypořádání</w:t>
            </w:r>
          </w:p>
          <w:p w14:paraId="662849EB"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a společného</w:t>
            </w:r>
          </w:p>
          <w:p w14:paraId="32A8AC17" w14:textId="77777777" w:rsidR="00453910" w:rsidRPr="001C26A9" w:rsidRDefault="00453910" w:rsidP="00B205AE">
            <w:pPr>
              <w:spacing w:after="0"/>
              <w:ind w:left="73" w:right="-54"/>
              <w:jc w:val="center"/>
              <w:rPr>
                <w:rFonts w:ascii="Verdana" w:hAnsi="Verdana" w:cs="Arial"/>
              </w:rPr>
            </w:pPr>
            <w:r w:rsidRPr="001C26A9">
              <w:rPr>
                <w:rFonts w:ascii="Verdana" w:hAnsi="Verdana" w:cs="Arial"/>
              </w:rPr>
              <w:t>povolení</w:t>
            </w:r>
          </w:p>
          <w:p w14:paraId="0BDEC188" w14:textId="77777777" w:rsidR="00453910" w:rsidRPr="00453910" w:rsidRDefault="00453910" w:rsidP="00B205AE">
            <w:pPr>
              <w:spacing w:after="0"/>
              <w:ind w:left="73" w:right="-54"/>
              <w:jc w:val="center"/>
              <w:rPr>
                <w:rFonts w:ascii="Verdana" w:hAnsi="Verdana" w:cs="Arial"/>
                <w:highlight w:val="yellow"/>
              </w:rPr>
            </w:pPr>
            <w:r w:rsidRPr="001C26A9">
              <w:rPr>
                <w:rFonts w:ascii="Verdana" w:hAnsi="Verdana" w:cs="Arial"/>
              </w:rPr>
              <w:t>v právní moci</w:t>
            </w:r>
          </w:p>
        </w:tc>
      </w:tr>
      <w:tr w:rsidR="001C26A9" w:rsidRPr="00CA2F8F" w14:paraId="46AC4745" w14:textId="77777777" w:rsidTr="00DA394D">
        <w:trPr>
          <w:trHeight w:val="694"/>
        </w:trPr>
        <w:tc>
          <w:tcPr>
            <w:tcW w:w="1101" w:type="pct"/>
            <w:tcBorders>
              <w:top w:val="nil"/>
              <w:left w:val="single" w:sz="8" w:space="0" w:color="auto"/>
              <w:bottom w:val="single" w:sz="4" w:space="0" w:color="auto"/>
              <w:right w:val="single" w:sz="8" w:space="0" w:color="auto"/>
            </w:tcBorders>
            <w:shd w:val="clear" w:color="000000" w:fill="FFFFFF"/>
            <w:vAlign w:val="center"/>
          </w:tcPr>
          <w:p w14:paraId="31F11C26" w14:textId="18480FE6" w:rsidR="001C26A9" w:rsidRPr="001C26A9" w:rsidRDefault="001C26A9" w:rsidP="001C26A9">
            <w:pPr>
              <w:spacing w:after="0"/>
              <w:jc w:val="center"/>
              <w:rPr>
                <w:rFonts w:ascii="Verdana" w:hAnsi="Verdana" w:cs="Arial"/>
                <w:b/>
                <w:bCs/>
              </w:rPr>
            </w:pPr>
            <w:r>
              <w:rPr>
                <w:rFonts w:ascii="Verdana" w:hAnsi="Verdana" w:cs="Arial"/>
                <w:b/>
                <w:bCs/>
              </w:rPr>
              <w:t>Výkon dozoru projektanta</w:t>
            </w:r>
          </w:p>
        </w:tc>
        <w:tc>
          <w:tcPr>
            <w:tcW w:w="1331" w:type="pct"/>
            <w:tcBorders>
              <w:top w:val="nil"/>
              <w:left w:val="nil"/>
              <w:bottom w:val="single" w:sz="4" w:space="0" w:color="auto"/>
              <w:right w:val="single" w:sz="8" w:space="0" w:color="auto"/>
            </w:tcBorders>
            <w:shd w:val="clear" w:color="000000" w:fill="FFFFFF"/>
            <w:vAlign w:val="center"/>
          </w:tcPr>
          <w:p w14:paraId="09D1B806" w14:textId="709E060D" w:rsidR="00DD1790" w:rsidRPr="00DD1790" w:rsidRDefault="00DD1790" w:rsidP="001C26A9">
            <w:pPr>
              <w:spacing w:after="0"/>
              <w:jc w:val="center"/>
              <w:rPr>
                <w:rFonts w:ascii="Verdana" w:hAnsi="Verdana" w:cs="Arial"/>
              </w:rPr>
            </w:pPr>
            <w:r>
              <w:rPr>
                <w:rFonts w:ascii="Verdana" w:hAnsi="Verdana" w:cs="Arial"/>
              </w:rPr>
              <w:t>předpokládaná délka 13 měsíců</w:t>
            </w:r>
          </w:p>
        </w:tc>
        <w:tc>
          <w:tcPr>
            <w:tcW w:w="1430" w:type="pct"/>
            <w:tcBorders>
              <w:top w:val="nil"/>
              <w:left w:val="nil"/>
              <w:bottom w:val="single" w:sz="4" w:space="0" w:color="auto"/>
              <w:right w:val="single" w:sz="8" w:space="0" w:color="auto"/>
            </w:tcBorders>
            <w:shd w:val="clear" w:color="000000" w:fill="FFFFFF"/>
            <w:vAlign w:val="center"/>
          </w:tcPr>
          <w:p w14:paraId="4D8D7CF8" w14:textId="5DB07EAD" w:rsidR="001C26A9" w:rsidRPr="001C26A9" w:rsidRDefault="001C26A9" w:rsidP="00DD1790">
            <w:pPr>
              <w:pStyle w:val="Default"/>
              <w:jc w:val="center"/>
              <w:rPr>
                <w:rFonts w:eastAsia="Calibri" w:cs="Arial"/>
                <w:b/>
                <w:sz w:val="18"/>
                <w:szCs w:val="18"/>
              </w:rPr>
            </w:pPr>
            <w:r w:rsidRPr="001C26A9">
              <w:rPr>
                <w:rFonts w:eastAsia="Calibri" w:cs="Arial"/>
                <w:color w:val="auto"/>
                <w:sz w:val="18"/>
                <w:szCs w:val="18"/>
              </w:rPr>
              <w:t xml:space="preserve">Dozor projektanta při provádění stavby ode dne zahájení stavby do ukončení stavby </w:t>
            </w:r>
            <w:r>
              <w:rPr>
                <w:rFonts w:eastAsia="Calibri" w:cs="Arial"/>
                <w:sz w:val="18"/>
                <w:szCs w:val="18"/>
              </w:rPr>
              <w:t>(fakturace ceny dozoru</w:t>
            </w:r>
            <w:r w:rsidR="001F0656">
              <w:rPr>
                <w:rFonts w:eastAsia="Calibri" w:cs="Arial"/>
                <w:sz w:val="18"/>
                <w:szCs w:val="18"/>
              </w:rPr>
              <w:t>)</w:t>
            </w:r>
          </w:p>
        </w:tc>
        <w:tc>
          <w:tcPr>
            <w:tcW w:w="1138" w:type="pct"/>
            <w:tcBorders>
              <w:top w:val="nil"/>
              <w:left w:val="nil"/>
              <w:bottom w:val="single" w:sz="4" w:space="0" w:color="auto"/>
              <w:right w:val="single" w:sz="8" w:space="0" w:color="auto"/>
            </w:tcBorders>
            <w:shd w:val="clear" w:color="000000" w:fill="FFFFFF"/>
            <w:vAlign w:val="center"/>
          </w:tcPr>
          <w:p w14:paraId="4800182D" w14:textId="590D65AD" w:rsidR="001C26A9" w:rsidRPr="001C26A9" w:rsidRDefault="001C26A9" w:rsidP="001C26A9">
            <w:pPr>
              <w:spacing w:after="0"/>
              <w:ind w:left="73" w:right="-54"/>
              <w:jc w:val="center"/>
              <w:rPr>
                <w:rFonts w:ascii="Verdana" w:hAnsi="Verdana" w:cs="Arial"/>
              </w:rPr>
            </w:pPr>
          </w:p>
        </w:tc>
      </w:tr>
      <w:tr w:rsidR="00DA394D" w:rsidRPr="00CA2F8F" w14:paraId="6BB7B652" w14:textId="77777777" w:rsidTr="00DA394D">
        <w:trPr>
          <w:trHeight w:val="694"/>
        </w:trPr>
        <w:tc>
          <w:tcPr>
            <w:tcW w:w="1101" w:type="pct"/>
            <w:tcBorders>
              <w:top w:val="single" w:sz="4" w:space="0" w:color="auto"/>
              <w:left w:val="single" w:sz="4" w:space="0" w:color="auto"/>
              <w:bottom w:val="single" w:sz="4" w:space="0" w:color="auto"/>
              <w:right w:val="single" w:sz="8" w:space="0" w:color="auto"/>
            </w:tcBorders>
            <w:shd w:val="clear" w:color="000000" w:fill="FFFFFF"/>
            <w:vAlign w:val="center"/>
          </w:tcPr>
          <w:p w14:paraId="6B80C8DF" w14:textId="73CCEF00" w:rsidR="00DA394D" w:rsidRPr="001F0656" w:rsidRDefault="00DA394D" w:rsidP="00DA394D">
            <w:pPr>
              <w:spacing w:after="0"/>
              <w:jc w:val="center"/>
              <w:rPr>
                <w:rFonts w:ascii="Verdana" w:hAnsi="Verdana" w:cs="Arial"/>
                <w:b/>
                <w:bCs/>
              </w:rPr>
            </w:pPr>
            <w:r w:rsidRPr="001F0656">
              <w:rPr>
                <w:rFonts w:ascii="Verdana" w:hAnsi="Verdana" w:cs="Arial"/>
                <w:b/>
                <w:bCs/>
              </w:rPr>
              <w:t>Ukončení díla</w:t>
            </w:r>
            <w:r>
              <w:rPr>
                <w:rFonts w:ascii="Verdana" w:hAnsi="Verdana" w:cs="Arial"/>
                <w:b/>
                <w:bCs/>
              </w:rPr>
              <w:t xml:space="preserve"> </w:t>
            </w:r>
          </w:p>
        </w:tc>
        <w:tc>
          <w:tcPr>
            <w:tcW w:w="1331" w:type="pct"/>
            <w:tcBorders>
              <w:top w:val="single" w:sz="4" w:space="0" w:color="auto"/>
              <w:left w:val="nil"/>
              <w:bottom w:val="single" w:sz="4" w:space="0" w:color="auto"/>
              <w:right w:val="single" w:sz="8" w:space="0" w:color="auto"/>
            </w:tcBorders>
            <w:shd w:val="clear" w:color="000000" w:fill="FFFFFF"/>
            <w:vAlign w:val="center"/>
          </w:tcPr>
          <w:p w14:paraId="46A6FDAC" w14:textId="0150EC82" w:rsidR="00DA394D" w:rsidRPr="00E62336" w:rsidRDefault="00DA394D" w:rsidP="00DA394D">
            <w:pPr>
              <w:spacing w:after="0"/>
              <w:jc w:val="center"/>
              <w:rPr>
                <w:rFonts w:ascii="Verdana" w:hAnsi="Verdana" w:cs="Arial"/>
                <w:b/>
                <w:bCs/>
                <w:highlight w:val="yellow"/>
              </w:rPr>
            </w:pPr>
            <w:r w:rsidRPr="00816A15">
              <w:rPr>
                <w:rFonts w:ascii="Verdana" w:hAnsi="Verdana" w:cs="Arial"/>
                <w:b/>
                <w:bCs/>
              </w:rPr>
              <w:t xml:space="preserve">předpoklad </w:t>
            </w:r>
            <w:r w:rsidR="00816A15" w:rsidRPr="00816A15">
              <w:rPr>
                <w:rFonts w:ascii="Verdana" w:hAnsi="Verdana" w:cs="Arial"/>
                <w:b/>
                <w:bCs/>
              </w:rPr>
              <w:t>06/2026</w:t>
            </w:r>
            <w:r w:rsidRPr="00816A15">
              <w:rPr>
                <w:rFonts w:ascii="Verdana" w:hAnsi="Verdana" w:cs="Arial"/>
                <w:b/>
                <w:bCs/>
              </w:rPr>
              <w:t xml:space="preserve"> </w:t>
            </w:r>
          </w:p>
        </w:tc>
        <w:tc>
          <w:tcPr>
            <w:tcW w:w="1430" w:type="pct"/>
            <w:tcBorders>
              <w:top w:val="single" w:sz="4" w:space="0" w:color="auto"/>
              <w:left w:val="nil"/>
              <w:bottom w:val="single" w:sz="4" w:space="0" w:color="auto"/>
              <w:right w:val="single" w:sz="8" w:space="0" w:color="auto"/>
            </w:tcBorders>
            <w:shd w:val="clear" w:color="000000" w:fill="FFFFFF"/>
            <w:vAlign w:val="center"/>
          </w:tcPr>
          <w:p w14:paraId="0F5E8BE0" w14:textId="447B8A4B" w:rsidR="00DA394D" w:rsidRPr="001C26A9" w:rsidRDefault="00DA394D" w:rsidP="00DA394D">
            <w:pPr>
              <w:pStyle w:val="Default"/>
              <w:jc w:val="center"/>
              <w:rPr>
                <w:rFonts w:eastAsia="Calibri" w:cs="Arial"/>
                <w:color w:val="auto"/>
                <w:sz w:val="18"/>
                <w:szCs w:val="18"/>
              </w:rPr>
            </w:pPr>
          </w:p>
        </w:tc>
        <w:tc>
          <w:tcPr>
            <w:tcW w:w="1138" w:type="pct"/>
            <w:tcBorders>
              <w:top w:val="single" w:sz="4" w:space="0" w:color="auto"/>
              <w:left w:val="nil"/>
              <w:bottom w:val="single" w:sz="4" w:space="0" w:color="auto"/>
              <w:right w:val="single" w:sz="4" w:space="0" w:color="auto"/>
            </w:tcBorders>
            <w:shd w:val="clear" w:color="000000" w:fill="FFFFFF"/>
            <w:vAlign w:val="center"/>
          </w:tcPr>
          <w:p w14:paraId="3928C26E" w14:textId="77777777" w:rsidR="00DA394D" w:rsidRPr="001C26A9" w:rsidRDefault="00DA394D" w:rsidP="00DA394D">
            <w:pPr>
              <w:spacing w:after="0"/>
              <w:ind w:left="73" w:right="-54"/>
              <w:jc w:val="center"/>
              <w:rPr>
                <w:rFonts w:ascii="Verdana" w:hAnsi="Verdana" w:cs="Arial"/>
              </w:rPr>
            </w:pP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Pr="00D34318"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w:t>
      </w:r>
      <w:r w:rsidRPr="00D34318">
        <w:rPr>
          <w:rFonts w:eastAsia="Times New Roman" w:cs="Arial"/>
          <w:lang w:eastAsia="cs-CZ"/>
        </w:rPr>
        <w:t>a</w:t>
      </w:r>
      <w:r w:rsidRPr="00D34318">
        <w:rPr>
          <w:rFonts w:cs="Arial"/>
        </w:rPr>
        <w:t xml:space="preserve"> okolí místa stavby.</w:t>
      </w:r>
    </w:p>
    <w:p w14:paraId="3FCC63AF" w14:textId="70EA0518" w:rsidR="00DC00B4" w:rsidRDefault="00DC00B4" w:rsidP="00E92D9A">
      <w:pPr>
        <w:spacing w:before="120" w:after="120"/>
        <w:contextualSpacing/>
        <w:jc w:val="both"/>
        <w:rPr>
          <w:rFonts w:cs="Arial"/>
        </w:rPr>
      </w:pPr>
      <w:r w:rsidRPr="00D34318">
        <w:rPr>
          <w:rFonts w:cs="Arial"/>
        </w:rPr>
        <w:t xml:space="preserve">Součástí </w:t>
      </w:r>
      <w:r w:rsidR="008B7B05" w:rsidRPr="00D34318">
        <w:rPr>
          <w:rFonts w:cs="Arial"/>
        </w:rPr>
        <w:t>D</w:t>
      </w:r>
      <w:r w:rsidRPr="00D34318">
        <w:rPr>
          <w:rFonts w:cs="Arial"/>
        </w:rPr>
        <w:t>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Pr="0043379B"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souladu s</w:t>
      </w:r>
      <w:r w:rsidR="00D72E25">
        <w:rPr>
          <w:rFonts w:cs="Arial"/>
          <w:i/>
        </w:rPr>
        <w:t> </w:t>
      </w:r>
      <w:r w:rsidR="009D2A1C" w:rsidRPr="0043379B">
        <w:rPr>
          <w:rFonts w:cs="Arial"/>
          <w:i/>
        </w:rPr>
        <w:t xml:space="preserve">přílohou č. </w:t>
      </w:r>
      <w:r w:rsidR="00873BFC" w:rsidRPr="0043379B">
        <w:rPr>
          <w:rFonts w:cs="Arial"/>
          <w:i/>
        </w:rPr>
        <w:t>3</w:t>
      </w:r>
      <w:r w:rsidR="009D2A1C" w:rsidRPr="0043379B">
        <w:rPr>
          <w:rFonts w:cs="Arial"/>
          <w:i/>
        </w:rPr>
        <w:t xml:space="preserve"> této Výzvy</w:t>
      </w:r>
      <w:r w:rsidRPr="0043379B">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43379B">
        <w:rPr>
          <w:rFonts w:cs="Arial"/>
        </w:rPr>
        <w:t>nebyl v</w:t>
      </w:r>
      <w:r w:rsidR="00D72E25" w:rsidRPr="0043379B">
        <w:rPr>
          <w:rFonts w:cs="Arial"/>
        </w:rPr>
        <w:t> </w:t>
      </w:r>
      <w:r w:rsidRPr="0043379B">
        <w:rPr>
          <w:rFonts w:cs="Arial"/>
        </w:rPr>
        <w:t>zemi svého sídla v</w:t>
      </w:r>
      <w:r w:rsidR="00D72E25" w:rsidRPr="0043379B">
        <w:rPr>
          <w:rFonts w:cs="Arial"/>
        </w:rPr>
        <w:t> </w:t>
      </w:r>
      <w:r w:rsidRPr="0043379B">
        <w:rPr>
          <w:rFonts w:cs="Arial"/>
        </w:rPr>
        <w:t xml:space="preserve">posledních 5 letech před zahájením </w:t>
      </w:r>
      <w:r w:rsidR="00D15600" w:rsidRPr="0043379B">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484F58">
        <w:rPr>
          <w:rFonts w:cs="Arial"/>
          <w:b/>
          <w:i/>
        </w:rPr>
        <w:t xml:space="preserve">Účastník </w:t>
      </w:r>
      <w:r w:rsidR="00D15600" w:rsidRPr="00484F58">
        <w:rPr>
          <w:rFonts w:cs="Arial"/>
          <w:b/>
          <w:i/>
        </w:rPr>
        <w:t>výběrového</w:t>
      </w:r>
      <w:r w:rsidRPr="00484F58">
        <w:rPr>
          <w:rFonts w:cs="Arial"/>
          <w:b/>
          <w:i/>
        </w:rPr>
        <w:t xml:space="preserve"> řízení doloží doklad, </w:t>
      </w:r>
      <w:r w:rsidR="00622B3E" w:rsidRPr="00484F58">
        <w:rPr>
          <w:rFonts w:cs="Arial"/>
          <w:b/>
          <w:i/>
        </w:rPr>
        <w:t xml:space="preserve">na </w:t>
      </w:r>
      <w:r w:rsidR="00EA2B6B" w:rsidRPr="00484F58">
        <w:rPr>
          <w:rFonts w:cs="Arial"/>
          <w:b/>
          <w:i/>
        </w:rPr>
        <w:t>základě,</w:t>
      </w:r>
      <w:r w:rsidR="00622B3E" w:rsidRPr="00484F58">
        <w:rPr>
          <w:rFonts w:cs="Arial"/>
          <w:b/>
          <w:i/>
        </w:rPr>
        <w:t xml:space="preserve"> kterého </w:t>
      </w:r>
      <w:r w:rsidRPr="00484F58">
        <w:rPr>
          <w:rFonts w:cs="Arial"/>
          <w:b/>
          <w:i/>
        </w:rPr>
        <w:t>je oprávněn podnikat v rozsahu odpovídajícímu předmětu veřejné zakázky:</w:t>
      </w:r>
      <w:r w:rsidRPr="00D571B8">
        <w:rPr>
          <w:rFonts w:cs="Arial"/>
          <w:b/>
          <w:i/>
        </w:rPr>
        <w:tab/>
      </w:r>
    </w:p>
    <w:p w14:paraId="615F151D" w14:textId="1EE2F735" w:rsidR="004850CE" w:rsidRPr="008A58DC" w:rsidRDefault="004850CE" w:rsidP="00680A7A">
      <w:pPr>
        <w:suppressAutoHyphens/>
        <w:spacing w:after="0"/>
        <w:ind w:left="1418" w:hanging="425"/>
        <w:jc w:val="both"/>
        <w:rPr>
          <w:rFonts w:cs="Arial"/>
          <w:b/>
          <w:i/>
        </w:rPr>
      </w:pPr>
      <w:r>
        <w:rPr>
          <w:rFonts w:cs="Arial"/>
          <w:b/>
          <w:i/>
        </w:rPr>
        <w:t xml:space="preserve">- </w:t>
      </w:r>
      <w:r w:rsidR="00484F58">
        <w:rPr>
          <w:rFonts w:cs="Arial"/>
          <w:b/>
          <w:i/>
        </w:rPr>
        <w:t>projektová činnost ve výstavbě;</w:t>
      </w:r>
    </w:p>
    <w:p w14:paraId="17B9D793" w14:textId="77777777" w:rsidR="004850CE" w:rsidRPr="009E5989" w:rsidRDefault="004850CE" w:rsidP="00EE0D22">
      <w:pPr>
        <w:numPr>
          <w:ilvl w:val="0"/>
          <w:numId w:val="7"/>
        </w:numPr>
        <w:suppressAutoHyphens/>
        <w:spacing w:before="120" w:after="0" w:line="240" w:lineRule="auto"/>
        <w:ind w:left="709" w:hanging="425"/>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484F58" w:rsidRDefault="004850CE" w:rsidP="00931326">
      <w:pPr>
        <w:suppressAutoHyphens/>
        <w:spacing w:before="60" w:after="120"/>
        <w:ind w:left="709" w:hanging="1"/>
        <w:jc w:val="both"/>
        <w:rPr>
          <w:rFonts w:cs="Arial"/>
          <w:b/>
          <w:i/>
        </w:rPr>
      </w:pPr>
      <w:r w:rsidRPr="00484F58">
        <w:rPr>
          <w:rFonts w:cs="Arial"/>
          <w:b/>
          <w:i/>
        </w:rPr>
        <w:t>Účastník přiloží doklad o splnění zák. č.360/1992 Sb.,</w:t>
      </w:r>
      <w:r w:rsidRPr="00484F58">
        <w:rPr>
          <w:rFonts w:cs="Arial"/>
          <w:b/>
        </w:rPr>
        <w:t xml:space="preserve"> </w:t>
      </w:r>
      <w:r w:rsidRPr="00484F58">
        <w:rPr>
          <w:rFonts w:cs="Arial"/>
          <w:b/>
          <w:i/>
        </w:rPr>
        <w:t xml:space="preserve">o výkonu povolání </w:t>
      </w:r>
      <w:r w:rsidR="00622B3E" w:rsidRPr="00484F58">
        <w:rPr>
          <w:rFonts w:cs="Arial"/>
          <w:b/>
          <w:i/>
        </w:rPr>
        <w:t xml:space="preserve">autorizovaných architektů a výkonu povolání </w:t>
      </w:r>
      <w:r w:rsidRPr="00484F58">
        <w:rPr>
          <w:rFonts w:cs="Arial"/>
          <w:b/>
          <w:i/>
        </w:rPr>
        <w:t xml:space="preserve">autorizovaných inženýrů a techniků </w:t>
      </w:r>
      <w:r w:rsidR="00622B3E" w:rsidRPr="00484F58">
        <w:rPr>
          <w:rFonts w:cs="Arial"/>
          <w:b/>
          <w:i/>
        </w:rPr>
        <w:t xml:space="preserve">činných </w:t>
      </w:r>
      <w:r w:rsidRPr="00484F58">
        <w:rPr>
          <w:rFonts w:cs="Arial"/>
          <w:b/>
          <w:i/>
        </w:rPr>
        <w:t xml:space="preserve">ve výstavbě, </w:t>
      </w:r>
      <w:r w:rsidR="00622B3E" w:rsidRPr="00484F58">
        <w:rPr>
          <w:rFonts w:cs="Arial"/>
          <w:b/>
          <w:i/>
        </w:rPr>
        <w:t xml:space="preserve">ve znění pozdějších předpisů, </w:t>
      </w:r>
      <w:r w:rsidRPr="00484F58">
        <w:rPr>
          <w:rFonts w:cs="Arial"/>
          <w:b/>
          <w:i/>
        </w:rPr>
        <w:t>autorizaci dle výše citovaného zákona podle § 5 odst. 3 písm.:</w:t>
      </w:r>
    </w:p>
    <w:p w14:paraId="5F8CB3AC" w14:textId="20989641" w:rsidR="00A8684F" w:rsidRPr="00484F58" w:rsidRDefault="00484F58" w:rsidP="00680A7A">
      <w:pPr>
        <w:suppressAutoHyphens/>
        <w:spacing w:before="60" w:after="0"/>
        <w:ind w:left="993"/>
        <w:jc w:val="both"/>
        <w:rPr>
          <w:rFonts w:cs="Arial"/>
          <w:b/>
          <w:i/>
        </w:rPr>
      </w:pPr>
      <w:r w:rsidRPr="00484F58">
        <w:rPr>
          <w:rFonts w:cs="Arial"/>
          <w:b/>
          <w:i/>
        </w:rPr>
        <w:t>b</w:t>
      </w:r>
      <w:r w:rsidR="00A8684F" w:rsidRPr="00484F58">
        <w:rPr>
          <w:rFonts w:cs="Arial"/>
          <w:b/>
          <w:i/>
        </w:rPr>
        <w:t xml:space="preserve">) </w:t>
      </w:r>
      <w:r w:rsidRPr="00484F58">
        <w:rPr>
          <w:rFonts w:cs="Arial"/>
          <w:b/>
          <w:i/>
        </w:rPr>
        <w:t>dopravní</w:t>
      </w:r>
      <w:r w:rsidR="00A8684F" w:rsidRPr="00484F58">
        <w:rPr>
          <w:rFonts w:cs="Arial"/>
          <w:b/>
          <w:i/>
        </w:rPr>
        <w:t xml:space="preserve"> stavby,</w:t>
      </w:r>
    </w:p>
    <w:p w14:paraId="5BD08D20" w14:textId="72C4F1C7" w:rsidR="004850CE" w:rsidRDefault="00B43526" w:rsidP="00680A7A">
      <w:pPr>
        <w:suppressAutoHyphens/>
        <w:spacing w:before="60" w:after="0"/>
        <w:ind w:left="285" w:firstLine="708"/>
        <w:jc w:val="both"/>
        <w:rPr>
          <w:rFonts w:cs="Arial"/>
          <w:b/>
          <w:i/>
        </w:rPr>
      </w:pPr>
      <w:r w:rsidRPr="00484F58">
        <w:rPr>
          <w:rFonts w:cs="Arial"/>
          <w:b/>
          <w:i/>
        </w:rPr>
        <w:t>d</w:t>
      </w:r>
      <w:r w:rsidR="004850CE" w:rsidRPr="00484F58">
        <w:rPr>
          <w:rFonts w:cs="Arial"/>
          <w:b/>
          <w:i/>
        </w:rPr>
        <w:t>)</w:t>
      </w:r>
      <w:r w:rsidR="004850CE" w:rsidRPr="00484F58">
        <w:rPr>
          <w:rFonts w:cs="Arial"/>
          <w:i/>
        </w:rPr>
        <w:t xml:space="preserve"> </w:t>
      </w:r>
      <w:r w:rsidRPr="00484F58">
        <w:rPr>
          <w:rFonts w:cs="Arial"/>
          <w:b/>
          <w:i/>
        </w:rPr>
        <w:t>mosty a inženýrské konstrukce</w:t>
      </w:r>
      <w:r w:rsidR="00484F58" w:rsidRPr="00484F58">
        <w:rPr>
          <w:rFonts w:cs="Arial"/>
          <w:b/>
          <w:i/>
        </w:rPr>
        <w:t>,</w:t>
      </w:r>
    </w:p>
    <w:p w14:paraId="26B31986" w14:textId="43BB1CC1" w:rsidR="00484F58" w:rsidRDefault="00484F58" w:rsidP="00680A7A">
      <w:pPr>
        <w:suppressAutoHyphens/>
        <w:spacing w:before="60" w:after="0"/>
        <w:ind w:left="285" w:firstLine="708"/>
        <w:jc w:val="both"/>
        <w:rPr>
          <w:rFonts w:cs="Arial"/>
          <w:b/>
          <w:i/>
        </w:rPr>
      </w:pPr>
      <w:r>
        <w:rPr>
          <w:rFonts w:cs="Arial"/>
          <w:b/>
          <w:i/>
        </w:rPr>
        <w:t>e) technologická zařízení staveb.</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p>
    <w:p w14:paraId="260886C8" w14:textId="68FE0E28" w:rsidR="00FA396D" w:rsidRPr="002317DA" w:rsidRDefault="00FA396D" w:rsidP="002317DA">
      <w:pPr>
        <w:spacing w:before="120" w:after="120"/>
        <w:jc w:val="both"/>
        <w:rPr>
          <w:rFonts w:cs="Arial"/>
        </w:rPr>
      </w:pPr>
      <w:r w:rsidRPr="002317DA">
        <w:rPr>
          <w:rFonts w:cs="Arial"/>
        </w:rPr>
        <w:t xml:space="preserve">Účastník výběrového řízení je povinen prokázat své zkušenosti se zakázkami, které svým charakterem a objemem odpovídají profesnímu obsahu této veřejné zakázky za poslední </w:t>
      </w:r>
      <w:r w:rsidR="009639C7">
        <w:rPr>
          <w:rFonts w:cs="Arial"/>
        </w:rPr>
        <w:t>10</w:t>
      </w:r>
      <w:r w:rsidRPr="002317DA">
        <w:rPr>
          <w:rFonts w:cs="Arial"/>
        </w:rPr>
        <w:t xml:space="preserve"> let před zahájením výběrového řízení.</w:t>
      </w:r>
    </w:p>
    <w:p w14:paraId="30276213" w14:textId="3DC86CDD" w:rsidR="00FA396D" w:rsidRPr="009639C7" w:rsidRDefault="00FA396D" w:rsidP="002317DA">
      <w:pPr>
        <w:tabs>
          <w:tab w:val="left" w:pos="426"/>
        </w:tabs>
        <w:spacing w:before="120" w:after="120"/>
        <w:jc w:val="both"/>
        <w:rPr>
          <w:rFonts w:cs="Arial"/>
        </w:rPr>
      </w:pPr>
      <w:r w:rsidRPr="002317DA">
        <w:rPr>
          <w:rFonts w:cs="Arial"/>
        </w:rPr>
        <w:t xml:space="preserve">Účastník předloží seznam významných ukončených služeb obdobného charakteru poskytnutých dodavatelem v posledních </w:t>
      </w:r>
      <w:r w:rsidR="009639C7">
        <w:rPr>
          <w:rFonts w:cs="Arial"/>
        </w:rPr>
        <w:t>10</w:t>
      </w:r>
      <w:r w:rsidRPr="002317DA">
        <w:rPr>
          <w:rFonts w:cs="Arial"/>
        </w:rPr>
        <w:t xml:space="preserve"> letech před zahájením výběrového řízení. Za služby obdobného charakteru se </w:t>
      </w:r>
      <w:r w:rsidRPr="00484F58">
        <w:rPr>
          <w:rFonts w:cs="Arial"/>
        </w:rPr>
        <w:t xml:space="preserve">pokládají </w:t>
      </w:r>
      <w:r w:rsidRPr="00484F58">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484F58">
        <w:rPr>
          <w:rFonts w:cs="Arial"/>
        </w:rPr>
        <w:t xml:space="preserve">, pro stavby železničních drah ve smyslu § 5 odst. 1 a § 3 odst. 1 zákona č.266/1994 Sb., o drahách, ve znění pozdějších předpisů, jejichž předmětem bylo </w:t>
      </w:r>
      <w:r w:rsidR="009639C7" w:rsidRPr="009639C7">
        <w:rPr>
          <w:rFonts w:cs="Arial"/>
          <w:b/>
          <w:bCs/>
        </w:rPr>
        <w:t xml:space="preserve">vybudování mostové váhy nebo </w:t>
      </w:r>
      <w:r w:rsidR="009639C7">
        <w:rPr>
          <w:rFonts w:cs="Arial"/>
          <w:b/>
          <w:bCs/>
        </w:rPr>
        <w:t xml:space="preserve">podobné </w:t>
      </w:r>
      <w:r w:rsidR="009639C7" w:rsidRPr="009639C7">
        <w:rPr>
          <w:rFonts w:cs="Arial"/>
          <w:b/>
          <w:bCs/>
        </w:rPr>
        <w:t>konstrukce včetně připojení technologie obdobného určeného technického zařízení (UTZ)</w:t>
      </w:r>
      <w:r w:rsidR="009639C7" w:rsidRPr="009639C7">
        <w:rPr>
          <w:rFonts w:cs="Arial"/>
        </w:rPr>
        <w:t xml:space="preserve">. </w:t>
      </w:r>
    </w:p>
    <w:p w14:paraId="71EA4E50" w14:textId="0B27B728" w:rsidR="00FA396D" w:rsidRDefault="00FA396D" w:rsidP="002317DA">
      <w:pPr>
        <w:tabs>
          <w:tab w:val="left" w:pos="426"/>
        </w:tabs>
        <w:spacing w:before="120" w:after="120"/>
        <w:jc w:val="both"/>
      </w:pPr>
      <w:r w:rsidRPr="002317DA">
        <w:rPr>
          <w:rFonts w:cs="Arial"/>
        </w:rPr>
        <w:t xml:space="preserve">Účastník musí informacemi uvedenými v předloženém seznamu významných služeb prokázat, že v uvedeném období poskytl </w:t>
      </w:r>
      <w:r w:rsidRPr="00484F58">
        <w:rPr>
          <w:rFonts w:cs="Arial"/>
          <w:b/>
          <w:bCs/>
        </w:rPr>
        <w:t xml:space="preserve">alespoň </w:t>
      </w:r>
      <w:r w:rsidR="00484F58" w:rsidRPr="00484F58">
        <w:rPr>
          <w:rFonts w:cs="Arial"/>
          <w:b/>
          <w:bCs/>
        </w:rPr>
        <w:t>1 službu</w:t>
      </w:r>
      <w:r w:rsidRPr="00484F58">
        <w:rPr>
          <w:rFonts w:cs="Arial"/>
          <w:b/>
          <w:bCs/>
        </w:rPr>
        <w:t xml:space="preserve"> obdobného charakteru</w:t>
      </w:r>
      <w:r w:rsidRPr="002317DA">
        <w:rPr>
          <w:rFonts w:cs="Arial"/>
        </w:rPr>
        <w:t xml:space="preserve">, </w:t>
      </w:r>
      <w:r w:rsidRPr="00FA396D">
        <w:t>kter</w:t>
      </w:r>
      <w:r w:rsidR="00484F58">
        <w:t>á</w:t>
      </w:r>
      <w:r w:rsidRPr="00FA396D">
        <w:t xml:space="preserve"> dosahuj</w:t>
      </w:r>
      <w:r w:rsidR="00484F58">
        <w:t>e</w:t>
      </w:r>
      <w:r w:rsidRPr="00FA396D">
        <w:t xml:space="preserve"> minimálně hodnoty </w:t>
      </w:r>
      <w:r w:rsidR="009639C7" w:rsidRPr="009639C7">
        <w:rPr>
          <w:b/>
          <w:bCs/>
        </w:rPr>
        <w:t>5</w:t>
      </w:r>
      <w:r w:rsidR="00484F58" w:rsidRPr="009639C7">
        <w:rPr>
          <w:b/>
          <w:bCs/>
        </w:rPr>
        <w:t>0</w:t>
      </w:r>
      <w:r w:rsidR="00484F58" w:rsidRPr="00484F58">
        <w:rPr>
          <w:b/>
        </w:rPr>
        <w:t>0 000</w:t>
      </w:r>
      <w:r w:rsidRPr="00484F58">
        <w:rPr>
          <w:b/>
        </w:rPr>
        <w:t>,- Kč bez DPH</w:t>
      </w:r>
      <w:r w:rsidRPr="00484F58">
        <w:t>.</w:t>
      </w:r>
    </w:p>
    <w:p w14:paraId="29B7826C" w14:textId="3F4392A3" w:rsidR="00FA396D" w:rsidRPr="00FA396D" w:rsidRDefault="00FA396D" w:rsidP="002317DA">
      <w:pPr>
        <w:spacing w:before="120" w:after="120"/>
        <w:jc w:val="both"/>
        <w:rPr>
          <w:rFonts w:cs="Arial"/>
        </w:rPr>
      </w:pPr>
      <w:r w:rsidRPr="002317DA">
        <w:rPr>
          <w:rFonts w:cs="Arial"/>
        </w:rPr>
        <w:t>Seznam významných služeb bude předložen ve formě obsažené v </w:t>
      </w:r>
      <w:r w:rsidRPr="0043379B">
        <w:rPr>
          <w:rFonts w:cs="Arial"/>
        </w:rPr>
        <w:t xml:space="preserve">Příloze č. </w:t>
      </w:r>
      <w:r w:rsidR="00873BFC" w:rsidRPr="0043379B">
        <w:rPr>
          <w:rFonts w:cs="Arial"/>
        </w:rPr>
        <w:t>4</w:t>
      </w:r>
      <w:r w:rsidRPr="0043379B">
        <w:rPr>
          <w:rFonts w:cs="Arial"/>
        </w:rPr>
        <w:t xml:space="preserve"> této Výzvy.</w:t>
      </w:r>
      <w:r w:rsidRPr="002317DA">
        <w:rPr>
          <w:rFonts w:cs="Arial"/>
        </w:rPr>
        <w:t xml:space="preserve">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61F551EC" w:rsidR="00FA396D" w:rsidRPr="002317DA" w:rsidRDefault="00FA396D" w:rsidP="00047C8F">
      <w:pPr>
        <w:suppressAutoHyphens/>
        <w:jc w:val="both"/>
        <w:rPr>
          <w:rFonts w:cs="Arial"/>
          <w:b/>
          <w:iCs/>
        </w:rPr>
      </w:pPr>
      <w:r w:rsidRPr="002317DA">
        <w:rPr>
          <w:rFonts w:cs="Arial"/>
        </w:rPr>
        <w:t xml:space="preserve">Doba </w:t>
      </w:r>
      <w:r w:rsidR="009639C7">
        <w:rPr>
          <w:rFonts w:cs="Arial"/>
        </w:rPr>
        <w:t>10</w:t>
      </w:r>
      <w:r w:rsidRPr="002317DA">
        <w:rPr>
          <w:rFonts w:cs="Arial"/>
        </w:rPr>
        <w:t xml:space="preserve">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2" w:name="_Hlk146179398"/>
      <w:bookmarkEnd w:id="1"/>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vyžaduje </w:t>
      </w:r>
      <w:r w:rsidR="00113538" w:rsidRPr="00F30C22">
        <w:rPr>
          <w:bCs/>
          <w:iCs/>
        </w:rPr>
        <w:t>- jiné</w:t>
      </w:r>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3"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4" w:name="_Hlk146179538"/>
      <w:bookmarkEnd w:id="3"/>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4"/>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5"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559BA4EC" w:rsidR="00E26C30" w:rsidRPr="0043379B" w:rsidRDefault="00E26C30" w:rsidP="00ED2251">
      <w:pPr>
        <w:pStyle w:val="Odstavecseseznamem"/>
        <w:numPr>
          <w:ilvl w:val="1"/>
          <w:numId w:val="15"/>
        </w:numPr>
        <w:suppressAutoHyphens/>
        <w:spacing w:after="120"/>
        <w:ind w:left="567" w:hanging="567"/>
        <w:contextualSpacing w:val="0"/>
        <w:jc w:val="both"/>
        <w:rPr>
          <w:rFonts w:cs="Arial"/>
        </w:rPr>
      </w:pPr>
      <w:r w:rsidRPr="0043379B">
        <w:rPr>
          <w:rFonts w:cs="Arial"/>
        </w:rPr>
        <w:t xml:space="preserve">Účastník výběrového řízení prokáže splnění bodu </w:t>
      </w:r>
      <w:r w:rsidR="00910BF5" w:rsidRPr="0043379B">
        <w:rPr>
          <w:rFonts w:cs="Arial"/>
        </w:rPr>
        <w:t>9</w:t>
      </w:r>
      <w:r w:rsidRPr="0043379B">
        <w:rPr>
          <w:rFonts w:cs="Arial"/>
        </w:rPr>
        <w:t>.1 této Výzvy předložením čestného</w:t>
      </w:r>
      <w:r w:rsidR="00ED214B" w:rsidRPr="0043379B">
        <w:rPr>
          <w:rFonts w:cs="Arial"/>
        </w:rPr>
        <w:t xml:space="preserve"> </w:t>
      </w:r>
      <w:r w:rsidRPr="0043379B">
        <w:rPr>
          <w:rFonts w:cs="Arial"/>
        </w:rPr>
        <w:t xml:space="preserve">prohlášení zpracovaného v souladu s přílohou č. </w:t>
      </w:r>
      <w:r w:rsidR="004C5845" w:rsidRPr="0043379B">
        <w:rPr>
          <w:rFonts w:cs="Arial"/>
        </w:rPr>
        <w:t>7</w:t>
      </w:r>
      <w:r w:rsidR="00E6642D" w:rsidRPr="0043379B">
        <w:rPr>
          <w:rFonts w:cs="Arial"/>
        </w:rPr>
        <w:t xml:space="preserve"> </w:t>
      </w:r>
      <w:r w:rsidRPr="0043379B">
        <w:rPr>
          <w:rFonts w:cs="Arial"/>
        </w:rPr>
        <w:t>této Výzvy</w:t>
      </w:r>
      <w:r w:rsidR="00ED214B" w:rsidRPr="0043379B">
        <w:rPr>
          <w:rFonts w:cs="Arial"/>
        </w:rPr>
        <w:t>.</w:t>
      </w:r>
    </w:p>
    <w:bookmarkEnd w:id="5"/>
    <w:p w14:paraId="17F1879D" w14:textId="557A4229" w:rsidR="00102EFE" w:rsidRPr="0043379B" w:rsidRDefault="00102EFE" w:rsidP="00ED2251">
      <w:pPr>
        <w:pStyle w:val="Odstavecseseznamem"/>
        <w:numPr>
          <w:ilvl w:val="1"/>
          <w:numId w:val="15"/>
        </w:numPr>
        <w:suppressAutoHyphens/>
        <w:spacing w:after="120"/>
        <w:ind w:left="567" w:hanging="567"/>
        <w:contextualSpacing w:val="0"/>
        <w:jc w:val="both"/>
        <w:rPr>
          <w:rFonts w:cs="Arial"/>
        </w:rPr>
      </w:pPr>
      <w:r w:rsidRPr="0043379B">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43379B"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43379B">
        <w:rPr>
          <w:rFonts w:cs="Arial"/>
          <w:b/>
        </w:rPr>
        <w:t>Státního fondu dopravní infrastruktury</w:t>
      </w:r>
      <w:r w:rsidRPr="0043379B">
        <w:rPr>
          <w:rFonts w:cs="Arial"/>
        </w:rPr>
        <w:t xml:space="preserve"> </w:t>
      </w:r>
      <w:r w:rsidRPr="0043379B">
        <w:rPr>
          <w:rFonts w:cs="Arial"/>
          <w:b/>
        </w:rPr>
        <w:t>(SFDI)</w:t>
      </w:r>
      <w:r w:rsidRPr="0043379B">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v </w:t>
      </w:r>
      <w:r w:rsidRPr="0043379B">
        <w:rPr>
          <w:rFonts w:cs="Arial"/>
        </w:rPr>
        <w:t>bodě 8.5</w:t>
      </w:r>
      <w:r w:rsidR="00567944" w:rsidRPr="0043379B">
        <w:rPr>
          <w:rFonts w:cs="Arial"/>
        </w:rPr>
        <w:t>.6</w:t>
      </w:r>
      <w:r w:rsidRPr="0043379B">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43379B" w:rsidRDefault="004850CE" w:rsidP="00113538">
      <w:pPr>
        <w:suppressAutoHyphens/>
        <w:spacing w:after="120"/>
        <w:jc w:val="both"/>
        <w:rPr>
          <w:rFonts w:cs="Arial"/>
          <w:u w:val="single"/>
        </w:rPr>
      </w:pPr>
      <w:r w:rsidRPr="0043379B">
        <w:rPr>
          <w:rFonts w:cs="Arial"/>
          <w:u w:val="single"/>
        </w:rPr>
        <w:t>Nabídka bude předložena v následující struktuře:</w:t>
      </w:r>
    </w:p>
    <w:p w14:paraId="31879965" w14:textId="77777777"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6" w:name="_Hlk150426940"/>
      <w:r w:rsidRPr="0043379B">
        <w:rPr>
          <w:rFonts w:asciiTheme="minorHAnsi" w:hAnsiTheme="minorHAnsi"/>
          <w:sz w:val="18"/>
          <w:szCs w:val="18"/>
        </w:rPr>
        <w:t>Informace o účastníkovi, jeho identifikační údaje (příloha č. 1 Výzvy),</w:t>
      </w:r>
    </w:p>
    <w:p w14:paraId="3A14785B" w14:textId="711C5464" w:rsidR="00ED214B" w:rsidRPr="0043379B" w:rsidRDefault="00976AF9"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V</w:t>
      </w:r>
      <w:r w:rsidR="00ED214B" w:rsidRPr="0043379B">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Plná moc nebo pověření, je-li tohoto dokumentu potřeba,</w:t>
      </w:r>
    </w:p>
    <w:p w14:paraId="1F793D65" w14:textId="77777777"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Smlouva o společnosti (sdružení) resp. jiná obdobná listina,</w:t>
      </w:r>
    </w:p>
    <w:p w14:paraId="09350F21" w14:textId="1DC22840"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 xml:space="preserve">Doklady k prokázání základní způsobilosti, </w:t>
      </w:r>
      <w:r w:rsidR="00873DE2" w:rsidRPr="0043379B">
        <w:rPr>
          <w:rFonts w:asciiTheme="minorHAnsi" w:hAnsiTheme="minorHAnsi"/>
          <w:sz w:val="18"/>
          <w:szCs w:val="18"/>
        </w:rPr>
        <w:t xml:space="preserve">vzor </w:t>
      </w:r>
      <w:r w:rsidRPr="0043379B">
        <w:rPr>
          <w:rFonts w:asciiTheme="minorHAnsi" w:hAnsiTheme="minorHAnsi"/>
          <w:sz w:val="18"/>
          <w:szCs w:val="18"/>
        </w:rPr>
        <w:t>čestné</w:t>
      </w:r>
      <w:r w:rsidR="00873DE2" w:rsidRPr="0043379B">
        <w:rPr>
          <w:rFonts w:asciiTheme="minorHAnsi" w:hAnsiTheme="minorHAnsi"/>
          <w:sz w:val="18"/>
          <w:szCs w:val="18"/>
        </w:rPr>
        <w:t>ho</w:t>
      </w:r>
      <w:r w:rsidRPr="0043379B">
        <w:rPr>
          <w:rFonts w:asciiTheme="minorHAnsi" w:hAnsiTheme="minorHAnsi"/>
          <w:sz w:val="18"/>
          <w:szCs w:val="18"/>
        </w:rPr>
        <w:t xml:space="preserve"> prohlášení </w:t>
      </w:r>
      <w:r w:rsidR="00873DE2" w:rsidRPr="0043379B">
        <w:rPr>
          <w:rFonts w:asciiTheme="minorHAnsi" w:hAnsiTheme="minorHAnsi"/>
          <w:sz w:val="18"/>
          <w:szCs w:val="18"/>
        </w:rPr>
        <w:t>je uveden</w:t>
      </w:r>
      <w:r w:rsidRPr="0043379B">
        <w:rPr>
          <w:rFonts w:asciiTheme="minorHAnsi" w:hAnsiTheme="minorHAnsi"/>
          <w:sz w:val="18"/>
          <w:szCs w:val="18"/>
        </w:rPr>
        <w:t xml:space="preserve"> v Příloze č. </w:t>
      </w:r>
      <w:r w:rsidR="00976AF9" w:rsidRPr="0043379B">
        <w:rPr>
          <w:rFonts w:asciiTheme="minorHAnsi" w:hAnsiTheme="minorHAnsi"/>
          <w:sz w:val="18"/>
          <w:szCs w:val="18"/>
        </w:rPr>
        <w:t>3</w:t>
      </w:r>
      <w:r w:rsidRPr="0043379B">
        <w:rPr>
          <w:rFonts w:asciiTheme="minorHAnsi" w:hAnsiTheme="minorHAnsi"/>
          <w:sz w:val="18"/>
          <w:szCs w:val="18"/>
        </w:rPr>
        <w:t xml:space="preserve"> této Výzvy,</w:t>
      </w:r>
    </w:p>
    <w:p w14:paraId="53922ABF" w14:textId="77777777"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Doklady k prokázání profesní způsobilosti,</w:t>
      </w:r>
    </w:p>
    <w:p w14:paraId="76C21AEF" w14:textId="710C2C97" w:rsidR="00656B34" w:rsidRPr="0043379B" w:rsidRDefault="00976AF9"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Doklady k prokázání technické kvalifikace – Seznam</w:t>
      </w:r>
      <w:r w:rsidR="00656B34" w:rsidRPr="0043379B">
        <w:rPr>
          <w:rFonts w:asciiTheme="minorHAnsi" w:hAnsiTheme="minorHAnsi"/>
          <w:sz w:val="18"/>
          <w:szCs w:val="18"/>
        </w:rPr>
        <w:t xml:space="preserve"> významných služeb (příloha č. </w:t>
      </w:r>
      <w:r w:rsidRPr="0043379B">
        <w:rPr>
          <w:rFonts w:asciiTheme="minorHAnsi" w:hAnsiTheme="minorHAnsi"/>
          <w:sz w:val="18"/>
          <w:szCs w:val="18"/>
        </w:rPr>
        <w:t>4</w:t>
      </w:r>
      <w:r w:rsidR="00656B34" w:rsidRPr="0043379B">
        <w:rPr>
          <w:rFonts w:asciiTheme="minorHAnsi" w:hAnsiTheme="minorHAnsi"/>
          <w:sz w:val="18"/>
          <w:szCs w:val="18"/>
        </w:rPr>
        <w:t xml:space="preserve"> Výzvy),</w:t>
      </w:r>
    </w:p>
    <w:p w14:paraId="4542C573" w14:textId="1DAFB58C" w:rsidR="00873BFC" w:rsidRPr="0043379B" w:rsidRDefault="00873BFC"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Seznam osob prokazující profesní a odbornou způsobilost (příloha č. 5 Výzvy)</w:t>
      </w:r>
    </w:p>
    <w:p w14:paraId="297EBF59" w14:textId="0C749D3D"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43379B">
        <w:rPr>
          <w:rFonts w:asciiTheme="minorHAnsi" w:hAnsiTheme="minorHAnsi"/>
          <w:sz w:val="18"/>
          <w:szCs w:val="18"/>
        </w:rPr>
        <w:t>6</w:t>
      </w:r>
      <w:r w:rsidRPr="0043379B">
        <w:rPr>
          <w:rFonts w:asciiTheme="minorHAnsi" w:hAnsiTheme="minorHAnsi"/>
          <w:sz w:val="18"/>
          <w:szCs w:val="18"/>
        </w:rPr>
        <w:t xml:space="preserve"> Výzvy),</w:t>
      </w:r>
    </w:p>
    <w:p w14:paraId="7DF61F65" w14:textId="358FFB32" w:rsidR="00ED214B" w:rsidRPr="0043379B" w:rsidRDefault="00ED214B"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 xml:space="preserve">Seznam poddodavatelů (příloha č.  </w:t>
      </w:r>
      <w:r w:rsidR="00873BFC" w:rsidRPr="0043379B">
        <w:rPr>
          <w:rFonts w:asciiTheme="minorHAnsi" w:hAnsiTheme="minorHAnsi"/>
          <w:sz w:val="18"/>
          <w:szCs w:val="18"/>
        </w:rPr>
        <w:t>7</w:t>
      </w:r>
      <w:r w:rsidR="00587190" w:rsidRPr="0043379B">
        <w:rPr>
          <w:rFonts w:asciiTheme="minorHAnsi" w:hAnsiTheme="minorHAnsi"/>
          <w:sz w:val="18"/>
          <w:szCs w:val="18"/>
        </w:rPr>
        <w:t xml:space="preserve"> </w:t>
      </w:r>
      <w:r w:rsidRPr="0043379B">
        <w:rPr>
          <w:rFonts w:asciiTheme="minorHAnsi" w:hAnsiTheme="minorHAnsi"/>
          <w:sz w:val="18"/>
          <w:szCs w:val="18"/>
        </w:rPr>
        <w:t>Výzvy),</w:t>
      </w:r>
    </w:p>
    <w:p w14:paraId="661F6EE2" w14:textId="52EE85F8" w:rsidR="00ED214B" w:rsidRPr="0043379B" w:rsidRDefault="00587190" w:rsidP="00976AF9">
      <w:pPr>
        <w:pStyle w:val="Seznam"/>
        <w:numPr>
          <w:ilvl w:val="0"/>
          <w:numId w:val="22"/>
        </w:numPr>
        <w:spacing w:line="264" w:lineRule="auto"/>
        <w:ind w:left="782" w:hanging="391"/>
        <w:jc w:val="both"/>
        <w:rPr>
          <w:rFonts w:asciiTheme="minorHAnsi" w:hAnsiTheme="minorHAnsi"/>
          <w:sz w:val="18"/>
          <w:szCs w:val="18"/>
        </w:rPr>
      </w:pPr>
      <w:r w:rsidRPr="0043379B">
        <w:rPr>
          <w:rFonts w:asciiTheme="minorHAnsi" w:hAnsiTheme="minorHAnsi"/>
          <w:sz w:val="18"/>
          <w:szCs w:val="18"/>
        </w:rPr>
        <w:t xml:space="preserve">Čestné prohlášení o splnění podmínek v souvislosti </w:t>
      </w:r>
      <w:r w:rsidR="008B7B05" w:rsidRPr="0043379B">
        <w:rPr>
          <w:rFonts w:asciiTheme="minorHAnsi" w:hAnsiTheme="minorHAnsi"/>
          <w:sz w:val="18"/>
          <w:szCs w:val="18"/>
        </w:rPr>
        <w:t xml:space="preserve">s mezinárodními sankcemi </w:t>
      </w:r>
      <w:r w:rsidR="00ED214B" w:rsidRPr="0043379B">
        <w:rPr>
          <w:rFonts w:asciiTheme="minorHAnsi" w:hAnsiTheme="minorHAnsi"/>
          <w:sz w:val="18"/>
          <w:szCs w:val="18"/>
        </w:rPr>
        <w:t xml:space="preserve">(příloha č. </w:t>
      </w:r>
      <w:r w:rsidR="00873BFC" w:rsidRPr="0043379B">
        <w:rPr>
          <w:rFonts w:asciiTheme="minorHAnsi" w:hAnsiTheme="minorHAnsi"/>
          <w:sz w:val="18"/>
          <w:szCs w:val="18"/>
        </w:rPr>
        <w:t>8</w:t>
      </w:r>
      <w:r w:rsidRPr="0043379B">
        <w:rPr>
          <w:rFonts w:asciiTheme="minorHAnsi" w:hAnsiTheme="minorHAnsi"/>
          <w:sz w:val="18"/>
          <w:szCs w:val="18"/>
        </w:rPr>
        <w:t xml:space="preserve"> </w:t>
      </w:r>
      <w:r w:rsidR="00ED214B" w:rsidRPr="0043379B">
        <w:rPr>
          <w:rFonts w:asciiTheme="minorHAnsi" w:hAnsiTheme="minorHAnsi"/>
          <w:sz w:val="18"/>
          <w:szCs w:val="18"/>
        </w:rPr>
        <w:t>Výzvy)</w:t>
      </w:r>
    </w:p>
    <w:p w14:paraId="5EEDC46B" w14:textId="68011CDD" w:rsidR="00ED214B" w:rsidRPr="0043379B"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43379B">
        <w:rPr>
          <w:rFonts w:asciiTheme="minorHAnsi" w:hAnsiTheme="minorHAnsi"/>
          <w:sz w:val="18"/>
          <w:szCs w:val="18"/>
        </w:rPr>
        <w:t>Návrh Smlouvy o dílo</w:t>
      </w:r>
      <w:r w:rsidR="00976AF9" w:rsidRPr="0043379B">
        <w:rPr>
          <w:rFonts w:asciiTheme="minorHAnsi" w:hAnsiTheme="minorHAnsi"/>
          <w:sz w:val="18"/>
          <w:szCs w:val="18"/>
        </w:rPr>
        <w:t xml:space="preserve"> včetně příloh</w:t>
      </w:r>
      <w:r w:rsidRPr="0043379B">
        <w:rPr>
          <w:rFonts w:asciiTheme="minorHAnsi" w:hAnsiTheme="minorHAnsi"/>
          <w:sz w:val="18"/>
          <w:szCs w:val="18"/>
        </w:rPr>
        <w:t>.</w:t>
      </w:r>
    </w:p>
    <w:bookmarkEnd w:id="6"/>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se soubory o velikosti nejvýše 50</w:t>
      </w:r>
      <w:r w:rsidRPr="00F46E1A">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3CD1C344"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F6639B">
        <w:t xml:space="preserve">článku </w:t>
      </w:r>
      <w:r w:rsidR="006A2B02" w:rsidRPr="00F6639B">
        <w:t>10</w:t>
      </w:r>
      <w:r w:rsidRPr="00F6639B">
        <w:t>.</w:t>
      </w:r>
      <w:r w:rsidR="00F011EE" w:rsidRPr="00F6639B">
        <w:t>10</w:t>
      </w:r>
      <w:r w:rsidRPr="00F6639B">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7" w:name="_Toc147153729"/>
      <w:r w:rsidRPr="00C045D7">
        <w:rPr>
          <w:b/>
          <w:bCs/>
          <w:u w:val="single"/>
        </w:rPr>
        <w:t>Další zadávací podmínky v návaznosti na mezinárodní sankce, zákaz zadání veřejné zakázky</w:t>
      </w:r>
      <w:bookmarkEnd w:id="7"/>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524431FB"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8B7B05">
        <w:rPr>
          <w:rFonts w:cs="Arial"/>
        </w:rPr>
        <w:t>n</w:t>
      </w:r>
      <w:r w:rsidRPr="001047F5">
        <w:rPr>
          <w:rFonts w:cs="Arial"/>
        </w:rPr>
        <w:t>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8B7B05">
        <w:rPr>
          <w:rFonts w:cs="Arial"/>
        </w:rPr>
        <w:t>;</w:t>
      </w:r>
      <w:r w:rsidRPr="001047F5">
        <w:rPr>
          <w:rFonts w:cs="Arial"/>
        </w:rPr>
        <w:t xml:space="preserve"> </w:t>
      </w:r>
      <w:r w:rsidR="008B7B05">
        <w:rPr>
          <w:rStyle w:val="normaltextrun"/>
          <w:rFonts w:ascii="Verdana" w:hAnsi="Verdana"/>
          <w:shd w:val="clear" w:color="auto" w:fill="FFFFFF"/>
        </w:rPr>
        <w:t xml:space="preserve">dle čl. 2 </w:t>
      </w:r>
      <w:r w:rsidR="008B7B05">
        <w:rPr>
          <w:rStyle w:val="normaltextrun"/>
          <w:rFonts w:ascii="Verdana" w:hAnsi="Verdana"/>
          <w:bCs/>
          <w:shd w:val="clear" w:color="auto" w:fill="FFFFFF"/>
        </w:rPr>
        <w:t>nařízení Rady (ES) č. 765/2006</w:t>
      </w:r>
      <w:r w:rsidR="008B7B0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8B7B05">
        <w:rPr>
          <w:rStyle w:val="normaltextrun"/>
          <w:rFonts w:ascii="Verdana" w:hAnsi="Verdana"/>
          <w:bdr w:val="none" w:sz="0" w:space="0" w:color="auto" w:frame="1"/>
        </w:rPr>
        <w:t xml:space="preserve">dle čl. 2 </w:t>
      </w:r>
      <w:r w:rsidR="008B7B05">
        <w:rPr>
          <w:rStyle w:val="normaltextrun"/>
          <w:rFonts w:ascii="Verdana" w:hAnsi="Verdana"/>
          <w:bCs/>
          <w:bdr w:val="none" w:sz="0" w:space="0" w:color="auto" w:frame="1"/>
        </w:rPr>
        <w:t>nařízení Rady (EU) č. 208/2014</w:t>
      </w:r>
      <w:r w:rsidR="008B7B0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8B7B0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B7B05">
        <w:t xml:space="preserve">  </w:t>
      </w:r>
      <w:r w:rsidRPr="001047F5">
        <w:rPr>
          <w:rFonts w:cs="Arial"/>
        </w:rPr>
        <w:t>(dále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F6639B">
        <w:rPr>
          <w:rFonts w:cs="Arial"/>
        </w:rPr>
        <w:t xml:space="preserve">přílohou č. </w:t>
      </w:r>
      <w:r w:rsidR="00873BFC" w:rsidRPr="00F6639B">
        <w:rPr>
          <w:rFonts w:cs="Arial"/>
        </w:rPr>
        <w:t>8</w:t>
      </w:r>
      <w:r w:rsidRPr="00F6639B">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F6639B">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233BD0FE"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65BF3">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6817E" w14:textId="77777777" w:rsidR="00F65BF3" w:rsidRDefault="00F65BF3" w:rsidP="00962258">
      <w:pPr>
        <w:spacing w:after="0" w:line="240" w:lineRule="auto"/>
      </w:pPr>
      <w:r>
        <w:separator/>
      </w:r>
    </w:p>
  </w:endnote>
  <w:endnote w:type="continuationSeparator" w:id="0">
    <w:p w14:paraId="43AA76E6" w14:textId="77777777" w:rsidR="00F65BF3" w:rsidRDefault="00F65B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Budova Diamond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CA4E" w14:textId="77777777" w:rsidR="00F65BF3" w:rsidRDefault="00F65BF3" w:rsidP="00962258">
      <w:pPr>
        <w:spacing w:after="0" w:line="240" w:lineRule="auto"/>
      </w:pPr>
      <w:r>
        <w:separator/>
      </w:r>
    </w:p>
  </w:footnote>
  <w:footnote w:type="continuationSeparator" w:id="0">
    <w:p w14:paraId="78D10CD9" w14:textId="77777777" w:rsidR="00F65BF3" w:rsidRDefault="00F65BF3"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1FD5BE52" w:rsidR="00D8187D" w:rsidRPr="0064428B"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8" w:name="_Hlk145492187"/>
    <w:r w:rsidRPr="0064428B">
      <w:rPr>
        <w:rFonts w:ascii="Verdana-Italic" w:hAnsi="Verdana-Italic" w:cs="Verdana-Italic"/>
        <w:i/>
        <w:iCs/>
        <w:sz w:val="16"/>
        <w:szCs w:val="16"/>
      </w:rPr>
      <w:t>„</w:t>
    </w:r>
    <w:r w:rsidR="0064428B" w:rsidRPr="0064428B">
      <w:rPr>
        <w:rFonts w:ascii="Verdana-Italic" w:hAnsi="Verdana-Italic" w:cs="Verdana-Italic"/>
        <w:i/>
        <w:iCs/>
        <w:sz w:val="16"/>
        <w:szCs w:val="16"/>
      </w:rPr>
      <w:t>Zřízení nové kolejové v obvodu ŽST Plzeň hl. n.</w:t>
    </w:r>
    <w:r w:rsidRPr="0064428B">
      <w:rPr>
        <w:rFonts w:ascii="Verdana-Italic" w:hAnsi="Verdana-Italic" w:cs="Verdana-Italic"/>
        <w:i/>
        <w:iCs/>
        <w:sz w:val="16"/>
        <w:szCs w:val="16"/>
      </w:rPr>
      <w:t>“</w:t>
    </w:r>
  </w:p>
  <w:p w14:paraId="08ED3B78" w14:textId="18B0485D" w:rsidR="009C4223" w:rsidRPr="00C0276B" w:rsidRDefault="00D8187D" w:rsidP="00D8187D">
    <w:pPr>
      <w:pStyle w:val="Zhlav"/>
      <w:pBdr>
        <w:bottom w:val="single" w:sz="6" w:space="1" w:color="auto"/>
      </w:pBdr>
      <w:jc w:val="right"/>
      <w:rPr>
        <w:rFonts w:cs="Arial"/>
        <w:i/>
      </w:rPr>
    </w:pPr>
    <w:r w:rsidRPr="0064428B">
      <w:rPr>
        <w:rFonts w:ascii="Verdana-Italic" w:hAnsi="Verdana-Italic" w:cs="Verdana-Italic"/>
        <w:i/>
        <w:iCs/>
        <w:sz w:val="16"/>
        <w:szCs w:val="16"/>
      </w:rPr>
      <w:t xml:space="preserve">– </w:t>
    </w:r>
    <w:r w:rsidR="00ED0286" w:rsidRPr="0064428B">
      <w:rPr>
        <w:rFonts w:ascii="Verdana-Italic" w:hAnsi="Verdana-Italic" w:cs="Verdana-Italic"/>
        <w:i/>
        <w:iCs/>
        <w:sz w:val="16"/>
        <w:szCs w:val="16"/>
      </w:rPr>
      <w:t xml:space="preserve">projektová činnost a </w:t>
    </w:r>
    <w:r w:rsidR="008B7B05" w:rsidRPr="0064428B">
      <w:rPr>
        <w:rFonts w:ascii="Verdana-Italic" w:hAnsi="Verdana-Italic" w:cs="Verdana-Italic"/>
        <w:i/>
        <w:iCs/>
        <w:sz w:val="16"/>
        <w:szCs w:val="16"/>
      </w:rPr>
      <w:t>D</w:t>
    </w:r>
    <w:r w:rsidRPr="0064428B">
      <w:rPr>
        <w:rFonts w:ascii="Verdana-Italic" w:hAnsi="Verdana-Italic" w:cs="Verdana-Italic"/>
        <w:i/>
        <w:iCs/>
        <w:sz w:val="16"/>
        <w:szCs w:val="16"/>
      </w:rPr>
      <w:t>ozor projektanta v rámci realizace stavby</w:t>
    </w:r>
    <w:bookmarkEnd w:id="8"/>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1"/>
  </w:num>
  <w:num w:numId="2" w16cid:durableId="1558854608">
    <w:abstractNumId w:val="5"/>
  </w:num>
  <w:num w:numId="3" w16cid:durableId="1481993385">
    <w:abstractNumId w:val="14"/>
  </w:num>
  <w:num w:numId="4" w16cid:durableId="1469205162">
    <w:abstractNumId w:val="24"/>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3"/>
  </w:num>
  <w:num w:numId="11" w16cid:durableId="1481724184">
    <w:abstractNumId w:val="10"/>
  </w:num>
  <w:num w:numId="12" w16cid:durableId="1106077645">
    <w:abstractNumId w:val="18"/>
  </w:num>
  <w:num w:numId="13" w16cid:durableId="720250628">
    <w:abstractNumId w:val="25"/>
  </w:num>
  <w:num w:numId="14" w16cid:durableId="703288051">
    <w:abstractNumId w:val="16"/>
  </w:num>
  <w:num w:numId="15" w16cid:durableId="1736927066">
    <w:abstractNumId w:val="20"/>
  </w:num>
  <w:num w:numId="16" w16cid:durableId="1082219132">
    <w:abstractNumId w:val="26"/>
  </w:num>
  <w:num w:numId="17" w16cid:durableId="462623110">
    <w:abstractNumId w:val="15"/>
  </w:num>
  <w:num w:numId="18" w16cid:durableId="2068795137">
    <w:abstractNumId w:val="13"/>
  </w:num>
  <w:num w:numId="19" w16cid:durableId="78868589">
    <w:abstractNumId w:val="21"/>
  </w:num>
  <w:num w:numId="20" w16cid:durableId="1482304178">
    <w:abstractNumId w:val="3"/>
  </w:num>
  <w:num w:numId="21" w16cid:durableId="835191036">
    <w:abstractNumId w:val="27"/>
  </w:num>
  <w:num w:numId="22" w16cid:durableId="1959289611">
    <w:abstractNumId w:val="17"/>
  </w:num>
  <w:num w:numId="23" w16cid:durableId="1866402803">
    <w:abstractNumId w:val="4"/>
  </w:num>
  <w:num w:numId="24" w16cid:durableId="1166672785">
    <w:abstractNumId w:val="2"/>
  </w:num>
  <w:num w:numId="25" w16cid:durableId="1758863234">
    <w:abstractNumId w:val="22"/>
  </w:num>
  <w:num w:numId="26" w16cid:durableId="1031537408">
    <w:abstractNumId w:val="19"/>
  </w:num>
  <w:num w:numId="27" w16cid:durableId="48582369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6C81"/>
    <w:rsid w:val="000F2373"/>
    <w:rsid w:val="000F6D92"/>
    <w:rsid w:val="00102EFE"/>
    <w:rsid w:val="001047F5"/>
    <w:rsid w:val="00107683"/>
    <w:rsid w:val="00113538"/>
    <w:rsid w:val="00114472"/>
    <w:rsid w:val="00122937"/>
    <w:rsid w:val="001411AF"/>
    <w:rsid w:val="00142FDD"/>
    <w:rsid w:val="001454C8"/>
    <w:rsid w:val="00147E09"/>
    <w:rsid w:val="00161330"/>
    <w:rsid w:val="0016443F"/>
    <w:rsid w:val="001674E9"/>
    <w:rsid w:val="00167963"/>
    <w:rsid w:val="00170EC5"/>
    <w:rsid w:val="00173C5C"/>
    <w:rsid w:val="001747C1"/>
    <w:rsid w:val="00176B6E"/>
    <w:rsid w:val="00183D20"/>
    <w:rsid w:val="0018596A"/>
    <w:rsid w:val="0018607C"/>
    <w:rsid w:val="001935D2"/>
    <w:rsid w:val="001B366F"/>
    <w:rsid w:val="001B5CED"/>
    <w:rsid w:val="001C26A9"/>
    <w:rsid w:val="001D4E63"/>
    <w:rsid w:val="001E212F"/>
    <w:rsid w:val="001E2AB9"/>
    <w:rsid w:val="001E35EC"/>
    <w:rsid w:val="001E7081"/>
    <w:rsid w:val="001F0656"/>
    <w:rsid w:val="002044C0"/>
    <w:rsid w:val="00207DF5"/>
    <w:rsid w:val="002170E8"/>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301070"/>
    <w:rsid w:val="00306482"/>
    <w:rsid w:val="00312B24"/>
    <w:rsid w:val="00326A11"/>
    <w:rsid w:val="00327F80"/>
    <w:rsid w:val="003347C9"/>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C3C80"/>
    <w:rsid w:val="003C79A1"/>
    <w:rsid w:val="003D0011"/>
    <w:rsid w:val="003E2EE5"/>
    <w:rsid w:val="003F1731"/>
    <w:rsid w:val="003F261E"/>
    <w:rsid w:val="0041115C"/>
    <w:rsid w:val="00415995"/>
    <w:rsid w:val="00423A57"/>
    <w:rsid w:val="0042421F"/>
    <w:rsid w:val="00427416"/>
    <w:rsid w:val="0043254C"/>
    <w:rsid w:val="0043379B"/>
    <w:rsid w:val="004354A4"/>
    <w:rsid w:val="00444882"/>
    <w:rsid w:val="00450F07"/>
    <w:rsid w:val="00453910"/>
    <w:rsid w:val="00453CD3"/>
    <w:rsid w:val="00455BC7"/>
    <w:rsid w:val="00460660"/>
    <w:rsid w:val="00460CCB"/>
    <w:rsid w:val="00477370"/>
    <w:rsid w:val="00484F58"/>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20D"/>
    <w:rsid w:val="00520F08"/>
    <w:rsid w:val="00523EA7"/>
    <w:rsid w:val="00530762"/>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6C7E"/>
    <w:rsid w:val="005A64E9"/>
    <w:rsid w:val="005C392F"/>
    <w:rsid w:val="005D4929"/>
    <w:rsid w:val="005E791D"/>
    <w:rsid w:val="005F1F82"/>
    <w:rsid w:val="005F2A51"/>
    <w:rsid w:val="005F3E54"/>
    <w:rsid w:val="00603B5A"/>
    <w:rsid w:val="0061068E"/>
    <w:rsid w:val="0061452A"/>
    <w:rsid w:val="006229C5"/>
    <w:rsid w:val="00622B3E"/>
    <w:rsid w:val="00623B77"/>
    <w:rsid w:val="00642885"/>
    <w:rsid w:val="0064428B"/>
    <w:rsid w:val="00656B34"/>
    <w:rsid w:val="00660AD3"/>
    <w:rsid w:val="00671132"/>
    <w:rsid w:val="006744FC"/>
    <w:rsid w:val="00680365"/>
    <w:rsid w:val="00680A7A"/>
    <w:rsid w:val="0069381C"/>
    <w:rsid w:val="006A2B02"/>
    <w:rsid w:val="006A3594"/>
    <w:rsid w:val="006A5570"/>
    <w:rsid w:val="006A689C"/>
    <w:rsid w:val="006B110C"/>
    <w:rsid w:val="006B3D79"/>
    <w:rsid w:val="006B661F"/>
    <w:rsid w:val="006C319F"/>
    <w:rsid w:val="006E0131"/>
    <w:rsid w:val="006E0578"/>
    <w:rsid w:val="006E314D"/>
    <w:rsid w:val="00703A25"/>
    <w:rsid w:val="00706AF9"/>
    <w:rsid w:val="00710723"/>
    <w:rsid w:val="00713953"/>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1962"/>
    <w:rsid w:val="007A2E90"/>
    <w:rsid w:val="007A3D4F"/>
    <w:rsid w:val="007B2942"/>
    <w:rsid w:val="007B570C"/>
    <w:rsid w:val="007B6E7F"/>
    <w:rsid w:val="007C4B6F"/>
    <w:rsid w:val="007C59B4"/>
    <w:rsid w:val="007D4189"/>
    <w:rsid w:val="007D6E64"/>
    <w:rsid w:val="007E4A6E"/>
    <w:rsid w:val="007F019A"/>
    <w:rsid w:val="007F56A7"/>
    <w:rsid w:val="007F5796"/>
    <w:rsid w:val="008042F5"/>
    <w:rsid w:val="00807DD0"/>
    <w:rsid w:val="008122CB"/>
    <w:rsid w:val="00812EDA"/>
    <w:rsid w:val="00813F11"/>
    <w:rsid w:val="008146F5"/>
    <w:rsid w:val="00815AD7"/>
    <w:rsid w:val="00816A15"/>
    <w:rsid w:val="00824D4C"/>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A4F42"/>
    <w:rsid w:val="008B1C34"/>
    <w:rsid w:val="008B5EB7"/>
    <w:rsid w:val="008B7B05"/>
    <w:rsid w:val="008D03B9"/>
    <w:rsid w:val="008D6B3E"/>
    <w:rsid w:val="008E0D91"/>
    <w:rsid w:val="008E57AD"/>
    <w:rsid w:val="008F18D6"/>
    <w:rsid w:val="008F2D16"/>
    <w:rsid w:val="00904780"/>
    <w:rsid w:val="009061BE"/>
    <w:rsid w:val="00910BF5"/>
    <w:rsid w:val="00914BC5"/>
    <w:rsid w:val="00916C00"/>
    <w:rsid w:val="00917D6A"/>
    <w:rsid w:val="009200AC"/>
    <w:rsid w:val="00922385"/>
    <w:rsid w:val="009223DF"/>
    <w:rsid w:val="0092273E"/>
    <w:rsid w:val="00925EDB"/>
    <w:rsid w:val="00931326"/>
    <w:rsid w:val="0093577C"/>
    <w:rsid w:val="00936091"/>
    <w:rsid w:val="0093763F"/>
    <w:rsid w:val="00940D8A"/>
    <w:rsid w:val="00946721"/>
    <w:rsid w:val="00962258"/>
    <w:rsid w:val="0096335F"/>
    <w:rsid w:val="00963927"/>
    <w:rsid w:val="009639C7"/>
    <w:rsid w:val="00967468"/>
    <w:rsid w:val="009678B7"/>
    <w:rsid w:val="009703F2"/>
    <w:rsid w:val="00972C61"/>
    <w:rsid w:val="00976AF9"/>
    <w:rsid w:val="00982411"/>
    <w:rsid w:val="0098593E"/>
    <w:rsid w:val="0098775A"/>
    <w:rsid w:val="00992D9C"/>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7306A"/>
    <w:rsid w:val="00C75426"/>
    <w:rsid w:val="00C76762"/>
    <w:rsid w:val="00CA17EE"/>
    <w:rsid w:val="00CA2F8F"/>
    <w:rsid w:val="00CC3D93"/>
    <w:rsid w:val="00CC5627"/>
    <w:rsid w:val="00CD1FC4"/>
    <w:rsid w:val="00CD255A"/>
    <w:rsid w:val="00CD463D"/>
    <w:rsid w:val="00CD5CDE"/>
    <w:rsid w:val="00CE371D"/>
    <w:rsid w:val="00CE5C3C"/>
    <w:rsid w:val="00CE7DEB"/>
    <w:rsid w:val="00CF4C8D"/>
    <w:rsid w:val="00D061C9"/>
    <w:rsid w:val="00D06652"/>
    <w:rsid w:val="00D15600"/>
    <w:rsid w:val="00D16406"/>
    <w:rsid w:val="00D21061"/>
    <w:rsid w:val="00D26F4A"/>
    <w:rsid w:val="00D27EAE"/>
    <w:rsid w:val="00D316A7"/>
    <w:rsid w:val="00D34318"/>
    <w:rsid w:val="00D37FE3"/>
    <w:rsid w:val="00D4108E"/>
    <w:rsid w:val="00D42431"/>
    <w:rsid w:val="00D60762"/>
    <w:rsid w:val="00D6163D"/>
    <w:rsid w:val="00D72E25"/>
    <w:rsid w:val="00D761E8"/>
    <w:rsid w:val="00D80129"/>
    <w:rsid w:val="00D8187D"/>
    <w:rsid w:val="00D831A3"/>
    <w:rsid w:val="00D83A20"/>
    <w:rsid w:val="00DA394D"/>
    <w:rsid w:val="00DA6DB0"/>
    <w:rsid w:val="00DA6FFE"/>
    <w:rsid w:val="00DA795A"/>
    <w:rsid w:val="00DC00B4"/>
    <w:rsid w:val="00DC3110"/>
    <w:rsid w:val="00DD1790"/>
    <w:rsid w:val="00DD391E"/>
    <w:rsid w:val="00DD46F3"/>
    <w:rsid w:val="00DD58A6"/>
    <w:rsid w:val="00DD5DE9"/>
    <w:rsid w:val="00DE4ED4"/>
    <w:rsid w:val="00DE56F2"/>
    <w:rsid w:val="00DE70FE"/>
    <w:rsid w:val="00DF0C72"/>
    <w:rsid w:val="00DF116D"/>
    <w:rsid w:val="00E01516"/>
    <w:rsid w:val="00E016C1"/>
    <w:rsid w:val="00E065FC"/>
    <w:rsid w:val="00E06A79"/>
    <w:rsid w:val="00E10559"/>
    <w:rsid w:val="00E13512"/>
    <w:rsid w:val="00E15BA5"/>
    <w:rsid w:val="00E163E2"/>
    <w:rsid w:val="00E26C30"/>
    <w:rsid w:val="00E3035F"/>
    <w:rsid w:val="00E346FF"/>
    <w:rsid w:val="00E36254"/>
    <w:rsid w:val="00E4561F"/>
    <w:rsid w:val="00E62336"/>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173E4"/>
    <w:rsid w:val="00F30C22"/>
    <w:rsid w:val="00F30D3C"/>
    <w:rsid w:val="00F310F8"/>
    <w:rsid w:val="00F31CFF"/>
    <w:rsid w:val="00F345CA"/>
    <w:rsid w:val="00F35939"/>
    <w:rsid w:val="00F37D40"/>
    <w:rsid w:val="00F45607"/>
    <w:rsid w:val="00F46E1A"/>
    <w:rsid w:val="00F64786"/>
    <w:rsid w:val="00F659EB"/>
    <w:rsid w:val="00F65BF3"/>
    <w:rsid w:val="00F6639B"/>
    <w:rsid w:val="00F7752B"/>
    <w:rsid w:val="00F8178C"/>
    <w:rsid w:val="00F846A9"/>
    <w:rsid w:val="00F862D6"/>
    <w:rsid w:val="00F86BA6"/>
    <w:rsid w:val="00F91F1F"/>
    <w:rsid w:val="00F93ED0"/>
    <w:rsid w:val="00F96C6E"/>
    <w:rsid w:val="00F974A1"/>
    <w:rsid w:val="00FA396D"/>
    <w:rsid w:val="00FA4EB6"/>
    <w:rsid w:val="00FB135B"/>
    <w:rsid w:val="00FB36E4"/>
    <w:rsid w:val="00FC330C"/>
    <w:rsid w:val="00FC6389"/>
    <w:rsid w:val="00FC7725"/>
    <w:rsid w:val="00FC7B93"/>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character" w:customStyle="1" w:styleId="cf01">
    <w:name w:val="cf01"/>
    <w:basedOn w:val="Standardnpsmoodstavce"/>
    <w:rsid w:val="001E212F"/>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713</TotalTime>
  <Pages>1</Pages>
  <Words>6227</Words>
  <Characters>36744</Characters>
  <Application>Microsoft Office Word</Application>
  <DocSecurity>0</DocSecurity>
  <Lines>306</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84</cp:revision>
  <cp:lastPrinted>2024-02-09T08:20:00Z</cp:lastPrinted>
  <dcterms:created xsi:type="dcterms:W3CDTF">2023-11-09T07:05:00Z</dcterms:created>
  <dcterms:modified xsi:type="dcterms:W3CDTF">2024-02-09T08:20:00Z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